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786473">
      <w:pPr>
        <w:keepNext w:val="0"/>
        <w:keepLines w:val="0"/>
        <w:pageBreakBefore w:val="0"/>
        <w:widowControl/>
        <w:shd w:val="clear" w:color="auto"/>
        <w:kinsoku/>
        <w:wordWrap/>
        <w:overflowPunct/>
        <w:topLinePunct w:val="0"/>
        <w:autoSpaceDE/>
        <w:autoSpaceDN/>
        <w:bidi w:val="0"/>
        <w:adjustRightInd w:val="0"/>
        <w:snapToGrid/>
        <w:spacing w:line="560" w:lineRule="exact"/>
        <w:ind w:left="0" w:leftChars="0" w:right="0" w:firstLine="0" w:firstLineChars="0"/>
        <w:jc w:val="center"/>
        <w:textAlignment w:val="center"/>
        <w:rPr>
          <w:rFonts w:hint="eastAsia" w:ascii="方正小标宋_GBK" w:hAnsi="方正小标宋_GBK" w:eastAsia="方正小标宋_GBK" w:cs="方正小标宋_GBK"/>
          <w:color w:val="auto"/>
          <w:sz w:val="44"/>
          <w:szCs w:val="44"/>
          <w:highlight w:val="none"/>
          <w:lang w:val="en-US" w:eastAsia="zh-CN"/>
        </w:rPr>
      </w:pPr>
    </w:p>
    <w:p w14:paraId="150ADB79">
      <w:pPr>
        <w:keepNext w:val="0"/>
        <w:keepLines w:val="0"/>
        <w:pageBreakBefore w:val="0"/>
        <w:widowControl/>
        <w:shd w:val="clear" w:color="auto"/>
        <w:kinsoku/>
        <w:wordWrap/>
        <w:overflowPunct/>
        <w:topLinePunct w:val="0"/>
        <w:autoSpaceDE/>
        <w:autoSpaceDN/>
        <w:bidi w:val="0"/>
        <w:adjustRightInd w:val="0"/>
        <w:snapToGrid/>
        <w:spacing w:line="560" w:lineRule="exact"/>
        <w:ind w:left="0" w:leftChars="0" w:right="0" w:firstLine="0" w:firstLineChars="0"/>
        <w:jc w:val="center"/>
        <w:textAlignment w:val="center"/>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河北省生态环境行政许可裁量权基准</w:t>
      </w:r>
    </w:p>
    <w:p w14:paraId="26CEE43E">
      <w:pPr>
        <w:keepNext w:val="0"/>
        <w:keepLines w:val="0"/>
        <w:pageBreakBefore w:val="0"/>
        <w:widowControl/>
        <w:shd w:val="clear" w:color="auto"/>
        <w:kinsoku/>
        <w:wordWrap/>
        <w:overflowPunct/>
        <w:topLinePunct w:val="0"/>
        <w:autoSpaceDE/>
        <w:autoSpaceDN/>
        <w:bidi w:val="0"/>
        <w:adjustRightInd w:val="0"/>
        <w:snapToGrid/>
        <w:spacing w:line="560" w:lineRule="exact"/>
        <w:ind w:left="0" w:leftChars="0" w:right="0" w:firstLine="0" w:firstLineChars="0"/>
        <w:jc w:val="center"/>
        <w:textAlignment w:val="center"/>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lang w:val="en-US" w:eastAsia="zh-CN"/>
        </w:rPr>
        <w:t>（征求意见稿）</w:t>
      </w:r>
    </w:p>
    <w:p w14:paraId="67811D2B">
      <w:pPr>
        <w:keepNext w:val="0"/>
        <w:keepLines w:val="0"/>
        <w:pageBreakBefore w:val="0"/>
        <w:widowControl w:val="0"/>
        <w:kinsoku/>
        <w:wordWrap/>
        <w:overflowPunct/>
        <w:topLinePunct w:val="0"/>
        <w:autoSpaceDE/>
        <w:autoSpaceDN/>
        <w:bidi w:val="0"/>
        <w:adjustRightInd w:val="0"/>
        <w:spacing w:line="600" w:lineRule="exact"/>
        <w:ind w:left="0" w:right="0"/>
        <w:textAlignment w:val="auto"/>
        <w:rPr>
          <w:rFonts w:hint="eastAsia" w:ascii="仿宋_GB2312" w:hAnsi="仿宋_GB2312" w:eastAsia="仿宋_GB2312" w:cs="仿宋_GB2312"/>
          <w:color w:val="C0504D"/>
          <w:sz w:val="32"/>
          <w:szCs w:val="32"/>
          <w:highlight w:val="none"/>
          <w:lang w:val="en-US" w:eastAsia="zh-CN"/>
        </w:rPr>
      </w:pPr>
    </w:p>
    <w:p w14:paraId="2B822956">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第一条</w:t>
      </w:r>
      <w:r>
        <w:rPr>
          <w:rFonts w:hint="eastAsia" w:ascii="仿宋_GB2312" w:hAnsi="仿宋_GB2312" w:eastAsia="仿宋_GB2312" w:cs="仿宋_GB2312"/>
          <w:b w:val="0"/>
          <w:bCs w:val="0"/>
          <w:color w:val="auto"/>
          <w:sz w:val="32"/>
          <w:szCs w:val="32"/>
          <w:highlight w:val="none"/>
          <w:lang w:val="en-US" w:eastAsia="zh-CN"/>
        </w:rPr>
        <w:t xml:space="preserve">  为了规范生态环境行政许可裁量权的行使，推动行政许可便捷高效，根据《中华人民共和国行政许可法》《中华人民共和国生态环境法典》《河北省行政裁量权基准制定和管理办法》等规定，结合我省实际，制定本基准。</w:t>
      </w:r>
    </w:p>
    <w:p w14:paraId="0AC88738">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第二条</w:t>
      </w:r>
      <w:r>
        <w:rPr>
          <w:rFonts w:hint="eastAsia" w:ascii="仿宋_GB2312" w:hAnsi="仿宋_GB2312" w:eastAsia="仿宋_GB2312" w:cs="仿宋_GB2312"/>
          <w:b w:val="0"/>
          <w:bCs w:val="0"/>
          <w:color w:val="auto"/>
          <w:sz w:val="32"/>
          <w:szCs w:val="32"/>
          <w:highlight w:val="none"/>
          <w:lang w:val="en-US" w:eastAsia="zh-CN"/>
        </w:rPr>
        <w:t xml:space="preserve">  本基准适用于全省具有生态环境行政许可职能的各级生态环境部门、行政审批部门的行政许可裁量。</w:t>
      </w:r>
    </w:p>
    <w:p w14:paraId="055A822B">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各地有关生态环境部门、行政审批部门也可以在本基准的基础上，做出有利于行政许可相对人的优化调整。</w:t>
      </w:r>
    </w:p>
    <w:p w14:paraId="422B6E6F">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第三条</w:t>
      </w:r>
      <w:r>
        <w:rPr>
          <w:rFonts w:hint="eastAsia" w:ascii="仿宋_GB2312" w:hAnsi="仿宋_GB2312" w:eastAsia="仿宋_GB2312" w:cs="仿宋_GB2312"/>
          <w:b w:val="0"/>
          <w:bCs w:val="0"/>
          <w:color w:val="auto"/>
          <w:sz w:val="32"/>
          <w:szCs w:val="32"/>
          <w:highlight w:val="none"/>
          <w:lang w:val="en-US" w:eastAsia="zh-CN"/>
        </w:rPr>
        <w:t xml:space="preserve">  实施生态环境行政许可裁量权，应当遵循依法行政、程序公正、公平合理、高效便民的原则。</w:t>
      </w:r>
    </w:p>
    <w:p w14:paraId="6D328DB8">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 xml:space="preserve">第四条 </w:t>
      </w:r>
      <w:r>
        <w:rPr>
          <w:rFonts w:hint="eastAsia" w:ascii="仿宋_GB2312" w:hAnsi="仿宋_GB2312" w:eastAsia="仿宋_GB2312" w:cs="仿宋_GB2312"/>
          <w:b w:val="0"/>
          <w:bCs w:val="0"/>
          <w:color w:val="auto"/>
          <w:sz w:val="32"/>
          <w:szCs w:val="32"/>
          <w:highlight w:val="none"/>
          <w:lang w:val="en-US" w:eastAsia="zh-CN"/>
        </w:rPr>
        <w:t xml:space="preserve"> 省生态环境厅对生态环境行政许可事项及裁量标准实行清单管理，并根据法律法规立改废释等情况，及时动态调整清单。</w:t>
      </w:r>
    </w:p>
    <w:p w14:paraId="697104E6">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第五条</w:t>
      </w:r>
      <w:r>
        <w:rPr>
          <w:rFonts w:hint="eastAsia" w:ascii="仿宋_GB2312" w:hAnsi="仿宋_GB2312" w:eastAsia="仿宋_GB2312" w:cs="仿宋_GB2312"/>
          <w:b w:val="0"/>
          <w:bCs w:val="0"/>
          <w:color w:val="auto"/>
          <w:sz w:val="32"/>
          <w:szCs w:val="32"/>
          <w:highlight w:val="none"/>
          <w:lang w:val="en-US" w:eastAsia="zh-CN"/>
        </w:rPr>
        <w:t xml:space="preserve">  公民、法人和其他组织依法需要取得行政许可的，应当按有关要求向行政机关提出申请。申请方式分为现场申请和网上申请。</w:t>
      </w:r>
    </w:p>
    <w:p w14:paraId="4BFF7C07">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承办行政许可事项的部门应当在许可事项的服务指南或者网络平台上载明申请人需要提交的材料清单，以及具体申请方法和步骤等注意事项。</w:t>
      </w:r>
    </w:p>
    <w:p w14:paraId="42B35476">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 xml:space="preserve">第六条 </w:t>
      </w:r>
      <w:r>
        <w:rPr>
          <w:rFonts w:hint="eastAsia" w:ascii="仿宋_GB2312" w:hAnsi="仿宋_GB2312" w:eastAsia="仿宋_GB2312" w:cs="仿宋_GB2312"/>
          <w:b w:val="0"/>
          <w:bCs w:val="0"/>
          <w:color w:val="auto"/>
          <w:sz w:val="32"/>
          <w:szCs w:val="32"/>
          <w:highlight w:val="none"/>
          <w:lang w:val="en-US" w:eastAsia="zh-CN"/>
        </w:rPr>
        <w:t xml:space="preserve"> 对申请材料齐全且符合法定形式的，承办行政许可事项的部门应当依法受理。</w:t>
      </w:r>
    </w:p>
    <w:p w14:paraId="0F70BFAE">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对申请材料不齐全或者不符合法定形式的，应当当场或者五个工作日内告知需要补正的全部内容，并出具一次性告知书，由申请人补正后予以受理。</w:t>
      </w:r>
    </w:p>
    <w:p w14:paraId="4FB1F0ED">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第七条</w:t>
      </w:r>
      <w:r>
        <w:rPr>
          <w:rFonts w:hint="eastAsia" w:ascii="仿宋_GB2312" w:hAnsi="仿宋_GB2312" w:eastAsia="仿宋_GB2312" w:cs="仿宋_GB2312"/>
          <w:b w:val="0"/>
          <w:bCs w:val="0"/>
          <w:color w:val="auto"/>
          <w:sz w:val="32"/>
          <w:szCs w:val="32"/>
          <w:highlight w:val="none"/>
          <w:lang w:val="en-US" w:eastAsia="zh-CN"/>
        </w:rPr>
        <w:t xml:space="preserve">  对申请事项依法不需要取得行政许可、申请事项依法不属于职权范围的，以及申请人隐瞒有关情况或者提供虚假材料申请行政许可等情形，行政机关不予受理。对于不予受理的情形，承办行政许可事项的部门应当一次性告知申请人理由和依据，并出具不予受理决定书，送达申请人。</w:t>
      </w:r>
    </w:p>
    <w:p w14:paraId="6E10917B">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第八条</w:t>
      </w:r>
      <w:r>
        <w:rPr>
          <w:rFonts w:hint="eastAsia" w:ascii="仿宋_GB2312" w:hAnsi="仿宋_GB2312" w:eastAsia="仿宋_GB2312" w:cs="仿宋_GB2312"/>
          <w:b w:val="0"/>
          <w:bCs w:val="0"/>
          <w:color w:val="auto"/>
          <w:sz w:val="32"/>
          <w:szCs w:val="32"/>
          <w:highlight w:val="none"/>
          <w:lang w:val="en-US" w:eastAsia="zh-CN"/>
        </w:rPr>
        <w:t xml:space="preserve">  承办行政许可事项的部门在受理行政许可申请时，应当优化简化内部工作流程，合理压缩行政许可办理时限，并向申请人做出限时办结承诺。</w:t>
      </w:r>
    </w:p>
    <w:p w14:paraId="35ADB6B0">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第九条</w:t>
      </w:r>
      <w:r>
        <w:rPr>
          <w:rFonts w:hint="eastAsia" w:ascii="仿宋_GB2312" w:hAnsi="仿宋_GB2312" w:eastAsia="仿宋_GB2312" w:cs="仿宋_GB2312"/>
          <w:b w:val="0"/>
          <w:bCs w:val="0"/>
          <w:color w:val="auto"/>
          <w:sz w:val="32"/>
          <w:szCs w:val="32"/>
          <w:highlight w:val="none"/>
          <w:lang w:val="en-US" w:eastAsia="zh-CN"/>
        </w:rPr>
        <w:t xml:space="preserve">  承办行政许可事项的部门应当制定其承担的行政许可事项的审查工作细则，包括项目信息、审查过程、审查方式、监督检查要求等。</w:t>
      </w:r>
    </w:p>
    <w:p w14:paraId="00E8DA6D">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第十条</w:t>
      </w:r>
      <w:r>
        <w:rPr>
          <w:rFonts w:hint="eastAsia" w:ascii="仿宋_GB2312" w:hAnsi="仿宋_GB2312" w:eastAsia="仿宋_GB2312" w:cs="仿宋_GB2312"/>
          <w:b w:val="0"/>
          <w:bCs w:val="0"/>
          <w:color w:val="auto"/>
          <w:sz w:val="32"/>
          <w:szCs w:val="32"/>
          <w:highlight w:val="none"/>
          <w:lang w:val="en-US" w:eastAsia="zh-CN"/>
        </w:rPr>
        <w:t xml:space="preserve">  行政机关作出行政许可决定，依法需要听证、检验、检测、鉴定和专家评审的，所需时间不计算在办理期限内。</w:t>
      </w:r>
    </w:p>
    <w:p w14:paraId="0B8F7E1A">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第十一条</w:t>
      </w:r>
      <w:r>
        <w:rPr>
          <w:rFonts w:hint="eastAsia" w:ascii="仿宋_GB2312" w:hAnsi="仿宋_GB2312" w:eastAsia="仿宋_GB2312" w:cs="仿宋_GB2312"/>
          <w:b w:val="0"/>
          <w:bCs w:val="0"/>
          <w:color w:val="auto"/>
          <w:sz w:val="32"/>
          <w:szCs w:val="32"/>
          <w:highlight w:val="none"/>
          <w:lang w:val="en-US" w:eastAsia="zh-CN"/>
        </w:rPr>
        <w:t xml:space="preserve">  承办行政许可事项的部门能够当场作出决定的，应当当场作出书面行政许可决定；不能当场作出决定的，应当在法定期限内按照规定程序作出行政许可决定。</w:t>
      </w:r>
    </w:p>
    <w:p w14:paraId="0BD32118">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作出准予行政许可决定，需要颁发行政许可证件的，应当自作出决定之日起十个工作日内向申请人颁发许可证、执照、登记证等证件；作出不予许可决定的，应当向申请人出具不予许可决定书。</w:t>
      </w:r>
    </w:p>
    <w:p w14:paraId="41DFCE96">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第十二条</w:t>
      </w:r>
      <w:r>
        <w:rPr>
          <w:rFonts w:hint="eastAsia" w:ascii="仿宋_GB2312" w:hAnsi="仿宋_GB2312" w:eastAsia="仿宋_GB2312" w:cs="仿宋_GB2312"/>
          <w:b w:val="0"/>
          <w:bCs w:val="0"/>
          <w:color w:val="auto"/>
          <w:sz w:val="32"/>
          <w:szCs w:val="32"/>
          <w:highlight w:val="none"/>
          <w:lang w:val="en-US" w:eastAsia="zh-CN"/>
        </w:rPr>
        <w:t xml:space="preserve">  行政许可决定应当采取现场领取、委托送达、公告送达、邮寄送达等方式及时送达申请人，并以网络形式向社会公开。</w:t>
      </w:r>
    </w:p>
    <w:p w14:paraId="3212EAA1">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第十三条</w:t>
      </w:r>
      <w:r>
        <w:rPr>
          <w:rFonts w:hint="eastAsia" w:ascii="仿宋_GB2312" w:hAnsi="仿宋_GB2312" w:eastAsia="仿宋_GB2312" w:cs="仿宋_GB2312"/>
          <w:b w:val="0"/>
          <w:bCs w:val="0"/>
          <w:color w:val="auto"/>
          <w:sz w:val="32"/>
          <w:szCs w:val="32"/>
          <w:highlight w:val="none"/>
          <w:lang w:val="en-US" w:eastAsia="zh-CN"/>
        </w:rPr>
        <w:t xml:space="preserve">  在行政许可证件有效期内，被许可人要求变更行政许可事项的，应当按照变更类型向承办行政许可事项的部门提出变更申请，并提交申请变更的材料。符合法定条件的，承办行政许可事项的部门应当依法办理变更手续。</w:t>
      </w:r>
    </w:p>
    <w:p w14:paraId="59F3E3F4">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申请变更的材料清单、提交方式和步骤等注意事项应当在许可事项的服务指南中载明。</w:t>
      </w:r>
    </w:p>
    <w:p w14:paraId="48CB658C">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 xml:space="preserve">第十四条 </w:t>
      </w:r>
      <w:r>
        <w:rPr>
          <w:rFonts w:hint="eastAsia" w:ascii="仿宋_GB2312" w:hAnsi="仿宋_GB2312" w:eastAsia="仿宋_GB2312" w:cs="仿宋_GB2312"/>
          <w:b w:val="0"/>
          <w:bCs w:val="0"/>
          <w:color w:val="auto"/>
          <w:sz w:val="32"/>
          <w:szCs w:val="32"/>
          <w:highlight w:val="none"/>
          <w:lang w:val="en-US" w:eastAsia="zh-CN"/>
        </w:rPr>
        <w:t xml:space="preserve"> 行政许可有效期届满，需要延续的，应当在有效期届满三十日前向承办行政许可事项的部门提出延续申请。承办行政许可事项的部门应当依照法定条件、标准和规定的审查程序进行审查；符合条件的，应当准予延续。</w:t>
      </w:r>
    </w:p>
    <w:p w14:paraId="7ED5DEF7">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第十五条</w:t>
      </w:r>
      <w:r>
        <w:rPr>
          <w:rFonts w:hint="eastAsia" w:ascii="仿宋_GB2312" w:hAnsi="仿宋_GB2312" w:eastAsia="仿宋_GB2312" w:cs="仿宋_GB2312"/>
          <w:b w:val="0"/>
          <w:bCs w:val="0"/>
          <w:color w:val="auto"/>
          <w:sz w:val="32"/>
          <w:szCs w:val="32"/>
          <w:highlight w:val="none"/>
          <w:lang w:val="en-US" w:eastAsia="zh-CN"/>
        </w:rPr>
        <w:t xml:space="preserve">  有下列情形之一的，承办行政许可事项的部门应当依法办理注销手续：</w:t>
      </w:r>
    </w:p>
    <w:p w14:paraId="56EB63A2">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（一）行政许可有效期届满未延续的；</w:t>
      </w:r>
    </w:p>
    <w:p w14:paraId="06BFCA8A">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（二）赋予公民特定资格的行政许可，该公民死亡或者丧失行为能力的；</w:t>
      </w:r>
    </w:p>
    <w:p w14:paraId="56368686">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（三）法人或者其他组织依法终止的；</w:t>
      </w:r>
    </w:p>
    <w:p w14:paraId="0840174F">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（四）行政许可依法被撤销、撤回，或者行政许可证件依法被吊销的；</w:t>
      </w:r>
    </w:p>
    <w:p w14:paraId="7A87A209">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（五）因不可抗力导致行政许可事项无法实施的；</w:t>
      </w:r>
    </w:p>
    <w:p w14:paraId="0076C7BA">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（六）法律、法规规定的应当注销行政许可的其他情形。</w:t>
      </w:r>
    </w:p>
    <w:p w14:paraId="2BE125D8">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第十六条</w:t>
      </w:r>
      <w:r>
        <w:rPr>
          <w:rFonts w:hint="eastAsia" w:ascii="仿宋_GB2312" w:hAnsi="仿宋_GB2312" w:eastAsia="仿宋_GB2312" w:cs="仿宋_GB2312"/>
          <w:b w:val="0"/>
          <w:bCs w:val="0"/>
          <w:color w:val="auto"/>
          <w:sz w:val="32"/>
          <w:szCs w:val="32"/>
          <w:highlight w:val="none"/>
          <w:lang w:val="en-US" w:eastAsia="zh-CN"/>
        </w:rPr>
        <w:t xml:space="preserve">  有下列情形之一的，作出行政许可决定的行政机关或者上级行政机关，根据利害关系人的请求或者依据职权，可以撤销行政许可：</w:t>
      </w:r>
    </w:p>
    <w:p w14:paraId="448AD4B9">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（一）行政机关工作人员</w:t>
      </w:r>
      <w:r>
        <w:rPr>
          <w:rFonts w:hint="eastAsia" w:ascii="仿宋_GB2312" w:hAnsi="仿宋_GB2312" w:eastAsia="仿宋_GB2312" w:cs="仿宋_GB2312"/>
          <w:b w:val="0"/>
          <w:bCs w:val="0"/>
          <w:color w:val="auto"/>
          <w:sz w:val="32"/>
          <w:szCs w:val="32"/>
          <w:highlight w:val="none"/>
          <w:lang w:val="en-US" w:eastAsia="zh-CN"/>
        </w:rPr>
        <w:fldChar w:fldCharType="begin"/>
      </w:r>
      <w:r>
        <w:rPr>
          <w:rFonts w:hint="eastAsia" w:ascii="仿宋_GB2312" w:hAnsi="仿宋_GB2312" w:eastAsia="仿宋_GB2312" w:cs="仿宋_GB2312"/>
          <w:b w:val="0"/>
          <w:bCs w:val="0"/>
          <w:color w:val="auto"/>
          <w:sz w:val="32"/>
          <w:szCs w:val="32"/>
          <w:highlight w:val="none"/>
          <w:lang w:val="en-US" w:eastAsia="zh-CN"/>
        </w:rPr>
        <w:instrText xml:space="preserve"> HYPERLINK "https://www.66law.cn/zuiming/92_gainian.aspx" \o "滥用职权" \t "/home/user/Documents\\x/_blank" </w:instrText>
      </w:r>
      <w:r>
        <w:rPr>
          <w:rFonts w:hint="eastAsia" w:ascii="仿宋_GB2312" w:hAnsi="仿宋_GB2312" w:eastAsia="仿宋_GB2312" w:cs="仿宋_GB2312"/>
          <w:b w:val="0"/>
          <w:bCs w:val="0"/>
          <w:color w:val="auto"/>
          <w:sz w:val="32"/>
          <w:szCs w:val="32"/>
          <w:highlight w:val="none"/>
          <w:lang w:val="en-US" w:eastAsia="zh-CN"/>
        </w:rPr>
        <w:fldChar w:fldCharType="separate"/>
      </w:r>
      <w:r>
        <w:rPr>
          <w:rFonts w:hint="eastAsia" w:ascii="仿宋_GB2312" w:hAnsi="仿宋_GB2312" w:eastAsia="仿宋_GB2312" w:cs="仿宋_GB2312"/>
          <w:b w:val="0"/>
          <w:bCs w:val="0"/>
          <w:color w:val="auto"/>
          <w:sz w:val="32"/>
          <w:szCs w:val="32"/>
          <w:highlight w:val="none"/>
          <w:lang w:val="en-US" w:eastAsia="zh-CN"/>
        </w:rPr>
        <w:t>滥用职权</w:t>
      </w:r>
      <w:r>
        <w:rPr>
          <w:rFonts w:hint="eastAsia" w:ascii="仿宋_GB2312" w:hAnsi="仿宋_GB2312" w:eastAsia="仿宋_GB2312" w:cs="仿宋_GB2312"/>
          <w:b w:val="0"/>
          <w:bCs w:val="0"/>
          <w:color w:val="auto"/>
          <w:sz w:val="32"/>
          <w:szCs w:val="32"/>
          <w:highlight w:val="none"/>
          <w:lang w:val="en-US" w:eastAsia="zh-CN"/>
        </w:rPr>
        <w:fldChar w:fldCharType="end"/>
      </w:r>
      <w:r>
        <w:rPr>
          <w:rFonts w:hint="eastAsia" w:ascii="仿宋_GB2312" w:hAnsi="仿宋_GB2312" w:eastAsia="仿宋_GB2312" w:cs="仿宋_GB2312"/>
          <w:b w:val="0"/>
          <w:bCs w:val="0"/>
          <w:color w:val="auto"/>
          <w:sz w:val="32"/>
          <w:szCs w:val="32"/>
          <w:highlight w:val="none"/>
          <w:lang w:val="en-US" w:eastAsia="zh-CN"/>
        </w:rPr>
        <w:t>、玩忽职守作出准予行政许可决定的；</w:t>
      </w:r>
    </w:p>
    <w:p w14:paraId="7AEC8CF8">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（二）超越法定职权作出准予行政许可决定的；</w:t>
      </w:r>
    </w:p>
    <w:p w14:paraId="1C2222BD">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（三）违反法定程序作出准予行政许可决定的；</w:t>
      </w:r>
    </w:p>
    <w:p w14:paraId="7E9CD606">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（四）对不具备申请资格或者不符合法定条件的申请人准予行政许可的；</w:t>
      </w:r>
    </w:p>
    <w:p w14:paraId="4DBDA48E">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（五）依法可以撤销行政许可的其他情形。</w:t>
      </w:r>
    </w:p>
    <w:p w14:paraId="77B20F0E">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被许可人以欺骗、贿赂等不正当手段取得行政许可的，应当予以撤销。</w:t>
      </w:r>
    </w:p>
    <w:p w14:paraId="7B500BEB">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依照前两款的规定撤销行政许可，可能对公共利益造成重大损害的，不予撤销。</w:t>
      </w:r>
    </w:p>
    <w:p w14:paraId="68E23082">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依照本条第一款的规定撤销行政许可，被许可人的合法权益受到损害的，行政机关应当依法给予赔偿。依照本条第二款的规定撤销行政许可的，被许可人基于行政许可取得的利益不受保护。</w:t>
      </w:r>
    </w:p>
    <w:p w14:paraId="310636E3">
      <w:pPr>
        <w:keepNext w:val="0"/>
        <w:keepLines w:val="0"/>
        <w:pageBreakBefore w:val="0"/>
        <w:widowControl w:val="0"/>
        <w:kinsoku/>
        <w:wordWrap/>
        <w:overflowPunct/>
        <w:topLinePunct w:val="0"/>
        <w:autoSpaceDE/>
        <w:autoSpaceDN/>
        <w:bidi w:val="0"/>
        <w:adjustRightInd w:val="0"/>
        <w:spacing w:line="560" w:lineRule="exact"/>
        <w:ind w:left="0" w:right="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方正黑体_GBK" w:hAnsi="方正黑体_GBK" w:eastAsia="方正黑体_GBK" w:cs="方正黑体_GBK"/>
          <w:b w:val="0"/>
          <w:bCs w:val="0"/>
          <w:color w:val="auto"/>
          <w:sz w:val="32"/>
          <w:szCs w:val="32"/>
          <w:highlight w:val="none"/>
          <w:lang w:val="en-US" w:eastAsia="zh-CN"/>
        </w:rPr>
        <w:t>第十七条</w:t>
      </w:r>
      <w:r>
        <w:rPr>
          <w:rFonts w:hint="eastAsia" w:ascii="仿宋_GB2312" w:hAnsi="仿宋_GB2312" w:eastAsia="仿宋_GB2312" w:cs="仿宋_GB2312"/>
          <w:b w:val="0"/>
          <w:bCs w:val="0"/>
          <w:color w:val="auto"/>
          <w:sz w:val="32"/>
          <w:szCs w:val="32"/>
          <w:highlight w:val="none"/>
          <w:lang w:val="en-US" w:eastAsia="zh-CN"/>
        </w:rPr>
        <w:t xml:space="preserve">  在行政许可证件有效期限内，被许可人的证件遗失或者毁损的，可以向承办行政许可事项的部门提出补办申请。符合法定条件的，承办行政许可事项的部门应当予以补办。</w:t>
      </w:r>
    </w:p>
    <w:p w14:paraId="16A2D806">
      <w:pPr>
        <w:keepNext w:val="0"/>
        <w:keepLines w:val="0"/>
        <w:pageBreakBefore w:val="0"/>
        <w:shd w:val="clear" w:color="auto"/>
        <w:kinsoku/>
        <w:wordWrap/>
        <w:overflowPunct/>
        <w:topLinePunct w:val="0"/>
        <w:autoSpaceDE/>
        <w:autoSpaceDN/>
        <w:bidi w:val="0"/>
        <w:adjustRightInd w:val="0"/>
        <w:spacing w:line="560" w:lineRule="exact"/>
        <w:ind w:left="0" w:right="0" w:firstLine="640" w:firstLineChars="200"/>
        <w:rPr>
          <w:rFonts w:hint="eastAsia" w:ascii="仿宋_GB2312" w:hAnsi="仿宋_GB2312" w:eastAsia="仿宋_GB2312" w:cs="仿宋_GB2312"/>
          <w:b w:val="0"/>
          <w:bCs w:val="0"/>
          <w:color w:val="auto"/>
          <w:sz w:val="32"/>
          <w:szCs w:val="32"/>
          <w:highlight w:val="none"/>
        </w:rPr>
      </w:pPr>
      <w:r>
        <w:rPr>
          <w:rFonts w:hint="eastAsia" w:ascii="方正黑体_GBK" w:hAnsi="方正黑体_GBK" w:eastAsia="方正黑体_GBK" w:cs="方正黑体_GBK"/>
          <w:b w:val="0"/>
          <w:bCs w:val="0"/>
          <w:color w:val="auto"/>
          <w:sz w:val="32"/>
          <w:szCs w:val="32"/>
          <w:highlight w:val="none"/>
          <w:lang w:val="en-US" w:eastAsia="zh-CN"/>
        </w:rPr>
        <w:t>第十八条</w:t>
      </w:r>
      <w:r>
        <w:rPr>
          <w:rFonts w:hint="eastAsia" w:ascii="仿宋_GB2312" w:hAnsi="仿宋_GB2312" w:eastAsia="仿宋_GB2312" w:cs="仿宋_GB2312"/>
          <w:b w:val="0"/>
          <w:bCs w:val="0"/>
          <w:color w:val="auto"/>
          <w:sz w:val="32"/>
          <w:szCs w:val="32"/>
          <w:highlight w:val="none"/>
          <w:lang w:val="en-US" w:eastAsia="zh-CN"/>
        </w:rPr>
        <w:t xml:space="preserve">  本基准自2026年8月15日起施行，有效期五年。</w:t>
      </w:r>
    </w:p>
    <w:p w14:paraId="27F7DD1E">
      <w:pPr>
        <w:keepNext w:val="0"/>
        <w:keepLines w:val="0"/>
        <w:pageBreakBefore w:val="0"/>
        <w:shd w:val="clear" w:color="auto"/>
        <w:kinsoku/>
        <w:wordWrap/>
        <w:overflowPunct/>
        <w:topLinePunct w:val="0"/>
        <w:autoSpaceDE/>
        <w:autoSpaceDN/>
        <w:bidi w:val="0"/>
        <w:adjustRightInd w:val="0"/>
        <w:ind w:left="0" w:right="0"/>
        <w:rPr>
          <w:rFonts w:hint="eastAsia" w:ascii="仿宋_GB2312" w:hAnsi="仿宋_GB2312" w:eastAsia="仿宋_GB2312" w:cs="仿宋_GB2312"/>
          <w:b w:val="0"/>
          <w:bCs w:val="0"/>
          <w:color w:val="auto"/>
          <w:sz w:val="32"/>
          <w:szCs w:val="32"/>
          <w:highlight w:val="none"/>
        </w:rPr>
        <w:sectPr>
          <w:footerReference r:id="rId3" w:type="default"/>
          <w:pgSz w:w="11906" w:h="16838"/>
          <w:pgMar w:top="2098" w:right="1417" w:bottom="1531" w:left="1417" w:header="851" w:footer="992" w:gutter="0"/>
          <w:pgNumType w:fmt="numberInDash" w:start="1"/>
          <w:cols w:space="720" w:num="1"/>
          <w:docGrid w:type="lines" w:linePitch="312" w:charSpace="0"/>
        </w:sectPr>
      </w:pPr>
    </w:p>
    <w:p w14:paraId="6EFF4B62">
      <w:pPr>
        <w:keepNext w:val="0"/>
        <w:keepLines w:val="0"/>
        <w:pageBreakBefore w:val="0"/>
        <w:shd w:val="clear" w:color="auto"/>
        <w:kinsoku/>
        <w:wordWrap/>
        <w:overflowPunct/>
        <w:topLinePunct w:val="0"/>
        <w:autoSpaceDE/>
        <w:autoSpaceDN/>
        <w:bidi w:val="0"/>
        <w:adjustRightInd w:val="0"/>
        <w:ind w:left="0" w:right="0"/>
        <w:jc w:val="center"/>
        <w:rPr>
          <w:rFonts w:hint="eastAsia" w:ascii="方正小标宋简体" w:hAnsi="方正小标宋简体" w:eastAsia="方正小标宋简体" w:cs="方正小标宋简体"/>
          <w:i w:val="0"/>
          <w:color w:val="auto"/>
          <w:kern w:val="0"/>
          <w:sz w:val="44"/>
          <w:szCs w:val="44"/>
          <w:highlight w:val="none"/>
          <w:u w:val="none"/>
          <w:lang w:val="en-US" w:eastAsia="zh-CN" w:bidi="ar"/>
        </w:rPr>
      </w:pPr>
      <w:r>
        <w:rPr>
          <w:rFonts w:hint="eastAsia" w:ascii="方正小标宋简体" w:hAnsi="方正小标宋简体" w:eastAsia="方正小标宋简体" w:cs="方正小标宋简体"/>
          <w:i w:val="0"/>
          <w:color w:val="auto"/>
          <w:kern w:val="0"/>
          <w:sz w:val="44"/>
          <w:szCs w:val="44"/>
          <w:highlight w:val="none"/>
          <w:u w:val="none"/>
          <w:lang w:val="en-US" w:eastAsia="zh-CN" w:bidi="ar"/>
        </w:rPr>
        <w:t>河北省生态环境行政许可裁量权基准目录清单</w:t>
      </w:r>
    </w:p>
    <w:tbl>
      <w:tblPr>
        <w:tblStyle w:val="11"/>
        <w:tblW w:w="217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6"/>
        <w:gridCol w:w="758"/>
        <w:gridCol w:w="1890"/>
        <w:gridCol w:w="630"/>
        <w:gridCol w:w="1335"/>
        <w:gridCol w:w="966"/>
        <w:gridCol w:w="825"/>
        <w:gridCol w:w="5996"/>
        <w:gridCol w:w="844"/>
        <w:gridCol w:w="1391"/>
        <w:gridCol w:w="3020"/>
        <w:gridCol w:w="2754"/>
        <w:gridCol w:w="907"/>
      </w:tblGrid>
      <w:tr w14:paraId="75970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blHeader/>
          <w:jc w:val="center"/>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6871B31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序号</w:t>
            </w:r>
          </w:p>
        </w:tc>
        <w:tc>
          <w:tcPr>
            <w:tcW w:w="758" w:type="dxa"/>
            <w:tcBorders>
              <w:top w:val="single" w:color="000000" w:sz="4" w:space="0"/>
              <w:left w:val="single" w:color="000000" w:sz="4" w:space="0"/>
              <w:bottom w:val="single" w:color="000000" w:sz="4" w:space="0"/>
              <w:right w:val="single" w:color="000000" w:sz="4" w:space="0"/>
            </w:tcBorders>
            <w:noWrap w:val="0"/>
            <w:vAlign w:val="center"/>
          </w:tcPr>
          <w:p w14:paraId="645AD3E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许可</w:t>
            </w:r>
          </w:p>
          <w:p w14:paraId="3C2C409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事项</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1F66F45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具体情形</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4596C26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行使</w:t>
            </w:r>
          </w:p>
          <w:p w14:paraId="0BEE697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4A7A2F3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省级业务</w:t>
            </w:r>
          </w:p>
          <w:p w14:paraId="66D03C1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指导部门</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3945944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法定审批</w:t>
            </w:r>
          </w:p>
          <w:p w14:paraId="3E44A59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时限</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E5DFDD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办件</w:t>
            </w:r>
          </w:p>
          <w:p w14:paraId="129A272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类型</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199DA97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核验内容</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68502EA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许可</w:t>
            </w:r>
          </w:p>
          <w:p w14:paraId="6EA249A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类型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77CCB45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许可证件</w:t>
            </w:r>
          </w:p>
          <w:p w14:paraId="6F4CC49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名称</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0F86517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申请材料</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5BAE07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办理流程</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126DD64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lang w:eastAsia="zh-CN"/>
              </w:rPr>
            </w:pPr>
            <w:r>
              <w:rPr>
                <w:rFonts w:hint="eastAsia" w:ascii="仿宋_GB2312" w:hAnsi="仿宋_GB2312" w:eastAsia="仿宋_GB2312" w:cs="仿宋_GB2312"/>
                <w:color w:val="auto"/>
                <w:sz w:val="18"/>
                <w:szCs w:val="18"/>
                <w:highlight w:val="none"/>
                <w:lang w:eastAsia="zh-CN"/>
              </w:rPr>
              <w:t>备注</w:t>
            </w:r>
          </w:p>
        </w:tc>
      </w:tr>
      <w:tr w14:paraId="5DA7A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9" w:hRule="atLeast"/>
          <w:jc w:val="center"/>
        </w:trPr>
        <w:tc>
          <w:tcPr>
            <w:tcW w:w="396" w:type="dxa"/>
            <w:vMerge w:val="restart"/>
            <w:tcBorders>
              <w:top w:val="single" w:color="000000" w:sz="4" w:space="0"/>
              <w:left w:val="single" w:color="000000" w:sz="4" w:space="0"/>
              <w:bottom w:val="single" w:color="000000" w:sz="4" w:space="0"/>
              <w:right w:val="single" w:color="000000" w:sz="4" w:space="0"/>
            </w:tcBorders>
            <w:noWrap w:val="0"/>
            <w:vAlign w:val="center"/>
          </w:tcPr>
          <w:p w14:paraId="443B06E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1</w:t>
            </w:r>
          </w:p>
        </w:tc>
        <w:tc>
          <w:tcPr>
            <w:tcW w:w="758" w:type="dxa"/>
            <w:vMerge w:val="restart"/>
            <w:tcBorders>
              <w:top w:val="single" w:color="000000" w:sz="4" w:space="0"/>
              <w:left w:val="single" w:color="000000" w:sz="4" w:space="0"/>
              <w:bottom w:val="single" w:color="000000" w:sz="4" w:space="0"/>
              <w:right w:val="single" w:color="000000" w:sz="4" w:space="0"/>
            </w:tcBorders>
            <w:noWrap w:val="0"/>
            <w:vAlign w:val="center"/>
          </w:tcPr>
          <w:p w14:paraId="6E2F4C0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一般建设项目生态环境影响评价审批</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6734ACF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一般建设项目生态环境影响报告书审批</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6049F7B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省级</w:t>
            </w:r>
          </w:p>
          <w:p w14:paraId="4FBECD3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市级</w:t>
            </w:r>
          </w:p>
          <w:p w14:paraId="2FDAA85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县级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51A9446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6AA0A47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104D5E5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5F4AE82C">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Chars="0" w:right="0" w:rightChars="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1.是否符合生态环境保护相关法律法规。涉及依法划定的自然保护区、风景名胜区、生活饮用水源保护区及其他需要特别保护的区域的，是否征得相应一级人民政府或主管部门的同意；</w:t>
            </w:r>
          </w:p>
          <w:p w14:paraId="1B998A5B">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Chars="0" w:right="0" w:rightChars="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2.项目选址、选线、布局是否符合区域、流域和城市总体规划，是否符合环境和生态功能区划；</w:t>
            </w:r>
          </w:p>
          <w:p w14:paraId="6605FD83">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Chars="0" w:right="0" w:rightChars="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3.是否符合国家产业政策和清洁生产要求；</w:t>
            </w:r>
          </w:p>
          <w:p w14:paraId="707E6F2B">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Chars="0" w:right="0" w:rightChars="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4.项目所在区域环境质量能否满足相应环境功能区划标准；</w:t>
            </w:r>
          </w:p>
          <w:p w14:paraId="786C8413">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Chars="0" w:right="0" w:rightChars="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5.拟采取的污染防治措施能否确保污染物排放达到国家和地方规定的排放标准，满足总量控制要求；</w:t>
            </w:r>
          </w:p>
          <w:p w14:paraId="3AB764AE">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Chars="0" w:right="0" w:rightChars="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6.拟采取的生态保护措施能否有效预防和控制生态破坏；</w:t>
            </w:r>
          </w:p>
          <w:p w14:paraId="7333391B">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Chars="0" w:right="0" w:rightChars="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7.建设项目的生态环境影响报告书的基础资料数据真实，内容不存在重大缺陷、遗漏，生态环境影响评价结论明确、合理；</w:t>
            </w:r>
          </w:p>
          <w:p w14:paraId="52412083">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Chars="0" w:right="0" w:rightChars="0"/>
              <w:jc w:val="left"/>
              <w:textAlignment w:val="center"/>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i w:val="0"/>
                <w:color w:val="auto"/>
                <w:kern w:val="0"/>
                <w:sz w:val="18"/>
                <w:szCs w:val="18"/>
                <w:highlight w:val="none"/>
                <w:u w:val="none"/>
                <w:lang w:val="en-US" w:eastAsia="zh-CN" w:bidi="ar"/>
              </w:rPr>
              <w:t>8.法律规定其他应核验的内容。</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1FB60F2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6EF50CD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关于一般建设项目生态环境影响报告书的批复</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1C364BA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1.建设项目生态环境影响评价文件报批申请表；</w:t>
            </w:r>
          </w:p>
          <w:p w14:paraId="0A194DF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2.建设项目生态环境影响报告书。涉及国家秘密、商业秘密和个人隐私的，申请人应当自行作出删除、遮盖等区分处理，并提交有关说明材料；</w:t>
            </w:r>
          </w:p>
          <w:p w14:paraId="5FC74C3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3.建设项目公众参与说明；</w:t>
            </w:r>
          </w:p>
          <w:p w14:paraId="7983AA6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4.国家和省对产能有相关要求的行业建设项目，需要提交产能置换、立项备案等支撑性文件。</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FE828C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705AF02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2EA2215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37962A8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4.审批机构批准/不予批准；</w:t>
            </w:r>
          </w:p>
          <w:p w14:paraId="0747B7B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5.审批决定公告；</w:t>
            </w:r>
          </w:p>
          <w:p w14:paraId="4E90A0C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6.特殊环节（部分情况下开展）：技术评估、现场勘验、听证等所需时间不计入审批时限。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73A0074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2247E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0" w:hRule="atLeast"/>
          <w:jc w:val="center"/>
        </w:trPr>
        <w:tc>
          <w:tcPr>
            <w:tcW w:w="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8C34F5">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731809">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747CC0A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一般建设项目生态环境影响报告表审批</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7BB112E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省级</w:t>
            </w:r>
          </w:p>
          <w:p w14:paraId="4191A54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市级</w:t>
            </w:r>
          </w:p>
          <w:p w14:paraId="43814FD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县级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0E017AC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0C7ED6F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6FF5EB1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23B603E7">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Chars="0" w:right="0" w:rightChars="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1.是否符合生态环境保护相关法律法规。涉及依法划定的自然保护区、风景名胜区、生活饮用水源保护区及其他需要特别保护的区域的，是否征得相应一级人民政府或主管部门的同意；</w:t>
            </w:r>
          </w:p>
          <w:p w14:paraId="5043C95A">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Chars="0" w:right="0" w:rightChars="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2.项目选址、选线、布局是否符合区域、流域和城市总体规划，是否符合环境和生态功能区划；</w:t>
            </w:r>
          </w:p>
          <w:p w14:paraId="00BE9EF5">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Chars="0" w:right="0" w:rightChars="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3.是否符合国家产业政策和清洁生产要求；</w:t>
            </w:r>
          </w:p>
          <w:p w14:paraId="4E547A3D">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Chars="0" w:right="0" w:rightChars="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4.项目所在区域环境质量能否满足相应环境功能区划标准；</w:t>
            </w:r>
          </w:p>
          <w:p w14:paraId="7853D7E6">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Chars="0" w:right="0" w:rightChars="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5.拟采取的污染防治措施能否确保污染物排放达到国家和地方规定的排放标准，满足总量控制要求；</w:t>
            </w:r>
          </w:p>
          <w:p w14:paraId="1D72DB99">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Chars="0" w:right="0" w:rightChars="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6.拟采取的生态保护措施能否有效预防和控制生态破坏；</w:t>
            </w:r>
          </w:p>
          <w:p w14:paraId="49CD07E7">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Chars="0" w:right="0" w:rightChars="0"/>
              <w:jc w:val="left"/>
              <w:textAlignment w:val="center"/>
              <w:rPr>
                <w:rFonts w:hint="eastAsia" w:ascii="仿宋_GB2312" w:hAnsi="仿宋_GB2312" w:eastAsia="仿宋_GB2312" w:cs="仿宋_GB2312"/>
                <w:color w:val="auto"/>
                <w:sz w:val="18"/>
                <w:szCs w:val="18"/>
                <w:highlight w:val="none"/>
                <w:lang w:val="en-US" w:eastAsia="zh-CN"/>
              </w:rPr>
            </w:pPr>
            <w:r>
              <w:rPr>
                <w:rFonts w:hint="eastAsia" w:ascii="仿宋_GB2312" w:hAnsi="仿宋_GB2312" w:eastAsia="仿宋_GB2312" w:cs="仿宋_GB2312"/>
                <w:i w:val="0"/>
                <w:color w:val="auto"/>
                <w:kern w:val="0"/>
                <w:sz w:val="18"/>
                <w:szCs w:val="18"/>
                <w:highlight w:val="none"/>
                <w:u w:val="none"/>
                <w:lang w:val="en-US" w:eastAsia="zh-CN" w:bidi="ar"/>
              </w:rPr>
              <w:t>7.建设项目的生态环境影响报告表的基础资料数据真实，内容不存在重大缺陷、遗漏，生态环境影响评价结论明确、合理；</w:t>
            </w:r>
          </w:p>
          <w:p w14:paraId="2FB400B7">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Chars="0" w:right="0" w:rightChars="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8.法律规定其他应核验的内容。</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575012C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0BEB37F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关于一般建设项目生态环境影响报告表的批复</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28DFD30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1.建设项目生态环境影响评价文件报批申请表；</w:t>
            </w:r>
          </w:p>
          <w:p w14:paraId="6FBF53E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2.建设项目生态环境影响报告表。涉及国家秘密、商业秘密和个人隐私的，申请人应当自行作出删除、遮盖等区分处理，并提交有关说明材料；</w:t>
            </w:r>
          </w:p>
          <w:p w14:paraId="64C8EC4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3.国家和省对产能有相关要求的行业建设项目，需要提交产能置换、立项备案等支撑性文件。</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BAD896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7081A55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348BF56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7A49A64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4.审批机构批准/不予批准；</w:t>
            </w:r>
          </w:p>
          <w:p w14:paraId="4E5C931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5.审批决定公告；</w:t>
            </w:r>
          </w:p>
          <w:p w14:paraId="6B14F70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6.特殊环节（部分情况下开展）：技术评估、现场勘验、听证等所需时间不计入审批时限。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5888745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3A7B7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0" w:hRule="atLeast"/>
          <w:jc w:val="center"/>
        </w:trPr>
        <w:tc>
          <w:tcPr>
            <w:tcW w:w="396" w:type="dxa"/>
            <w:vMerge w:val="restart"/>
            <w:tcBorders>
              <w:top w:val="single" w:color="000000" w:sz="4" w:space="0"/>
              <w:left w:val="single" w:color="000000" w:sz="4" w:space="0"/>
              <w:bottom w:val="single" w:color="000000" w:sz="4" w:space="0"/>
              <w:right w:val="nil"/>
            </w:tcBorders>
            <w:noWrap w:val="0"/>
            <w:vAlign w:val="center"/>
          </w:tcPr>
          <w:p w14:paraId="620E65B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w:t>
            </w:r>
          </w:p>
        </w:tc>
        <w:tc>
          <w:tcPr>
            <w:tcW w:w="758" w:type="dxa"/>
            <w:vMerge w:val="restart"/>
            <w:tcBorders>
              <w:top w:val="single" w:color="000000" w:sz="4" w:space="0"/>
              <w:left w:val="single" w:color="000000" w:sz="4" w:space="0"/>
              <w:bottom w:val="single" w:color="000000" w:sz="4" w:space="0"/>
              <w:right w:val="single" w:color="000000" w:sz="4" w:space="0"/>
            </w:tcBorders>
            <w:noWrap w:val="0"/>
            <w:vAlign w:val="center"/>
          </w:tcPr>
          <w:p w14:paraId="3CE7618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核与辐射类建设项目生态环境影响评价审批</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4BC3E45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核与辐射类建设项目生态环境影响报告书审批</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379B9B4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省级</w:t>
            </w:r>
          </w:p>
          <w:p w14:paraId="1870720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50DD56D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4840B3D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62D604F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2C1D8CF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1.建设项目类型及其选址、布局、规模等符合生态环境保护法律法规和相关法定规划；</w:t>
            </w:r>
          </w:p>
          <w:p w14:paraId="2759507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2.所在区域环境质量达到国家或者地方环境质量标准，且建设项目拟采取的措施能满足区域环境质量改善目标管理要求；</w:t>
            </w:r>
          </w:p>
          <w:p w14:paraId="06C8030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3.建设项目采取的污染防治措施能确保污染物排放达到国家和地方排放标准，采取必要措施预防和控制生态破坏；可能产生放射性污染的，采取必要措施预防和控制放射性污染；</w:t>
            </w:r>
          </w:p>
          <w:p w14:paraId="0C87FE8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4.改建、扩建和技术改造项目针对项目原有环境污染和生态破坏提出有效防治措施；</w:t>
            </w:r>
          </w:p>
          <w:p w14:paraId="5C62C99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5.建设项目的生态环境影响报告书的基础资料数据真实，内容不存在重大缺陷、遗漏，生态环境影响评价结论明确、合理。</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71ACC43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2B6619B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关于核与辐射类建设项目生态环境影响报告书的批复</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475FA8F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1.建设项目生态环境影响评价文件报批申请；</w:t>
            </w:r>
          </w:p>
          <w:p w14:paraId="51EFD81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2.建设项目生态环境影响报告书。涉及国家秘密、商业秘密和个人隐私的，申请人应当自行作出删除、遮盖等区分处理，并提交有关说明材料；</w:t>
            </w:r>
          </w:p>
          <w:p w14:paraId="7B6DE9C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3.建设项目公众参与说明。</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3F8A33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22355C9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6B55DC1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5E69E4E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4.审批机构批准/不予批准；</w:t>
            </w:r>
          </w:p>
          <w:p w14:paraId="40FAFE3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5.审批决定公告；</w:t>
            </w:r>
          </w:p>
          <w:p w14:paraId="02CEE67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6.特殊环节（部分情况下开展）：技术评估、现场勘验、听证等所需时间不计入审批时限。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3411E5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1DEFE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5" w:hRule="atLeast"/>
          <w:jc w:val="center"/>
        </w:trPr>
        <w:tc>
          <w:tcPr>
            <w:tcW w:w="396" w:type="dxa"/>
            <w:vMerge w:val="continue"/>
            <w:tcBorders>
              <w:top w:val="single" w:color="000000" w:sz="4" w:space="0"/>
              <w:left w:val="single" w:color="000000" w:sz="4" w:space="0"/>
              <w:bottom w:val="single" w:color="000000" w:sz="4" w:space="0"/>
              <w:right w:val="nil"/>
            </w:tcBorders>
            <w:noWrap w:val="0"/>
            <w:vAlign w:val="center"/>
          </w:tcPr>
          <w:p w14:paraId="07C5A01D">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3DC799">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63C772F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核与辐射类建设项目生态环境影响报告表审批</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7FF1212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省级</w:t>
            </w:r>
          </w:p>
          <w:p w14:paraId="51CAE07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512F99B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735ED22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372045E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7B90E9B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1.建设项目类型及其选址、布局、规模等符合生态环境保护法律法规和相关法定规划；</w:t>
            </w:r>
          </w:p>
          <w:p w14:paraId="7740C40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2.所在区域环境质量达到国家或者地方环境质量标准，且建设项目拟采取的措施能满足区域环境质量改善目标管理要求；</w:t>
            </w:r>
          </w:p>
          <w:p w14:paraId="3A33D09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3.建设项目采取的污染防治措施能确保污染物排放达到国家和地方排放标准，采取必要措施预防和控制生态破坏；可能产生放射性污染的，采取必要措施预防和控制放射性污染；</w:t>
            </w:r>
          </w:p>
          <w:p w14:paraId="2F38730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4.改建、扩建和技术改造项目针对项目原有环境污染和生态破坏提出有效防治措施；</w:t>
            </w:r>
          </w:p>
          <w:p w14:paraId="55EF5F1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5.建设项目的生态环境影响报告表的基础资料数据真实，内容不存在重大缺陷、遗漏，生态环境影响评价结论明确、合理。</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7C453AF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114BCBA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关于核与辐射类建设项目生态环境影响报告表的批复</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6BAE457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1.建设项目生态环境影响评价文件报批申请；</w:t>
            </w:r>
          </w:p>
          <w:p w14:paraId="69BCEC1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2.建设项目生态环境影响报告表。涉及国家秘密、商业秘密和个人隐私的，申请人应当自行作出删除、遮盖等区分处理，并提交有关说明材料；</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1D3E34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6994479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1BDFF98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14D14E7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4.审批机构批准/不予批准；</w:t>
            </w:r>
          </w:p>
          <w:p w14:paraId="723375F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5.审批决定公告；</w:t>
            </w:r>
          </w:p>
          <w:p w14:paraId="1DA30C6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6.特殊环节（部分情况下开展）：技术评估、现场勘验、听证等所需时间不计入审批时限。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1BE8B3C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0720B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0" w:hRule="atLeast"/>
          <w:jc w:val="center"/>
        </w:trPr>
        <w:tc>
          <w:tcPr>
            <w:tcW w:w="396" w:type="dxa"/>
            <w:vMerge w:val="restart"/>
            <w:tcBorders>
              <w:top w:val="single" w:color="000000" w:sz="4" w:space="0"/>
              <w:left w:val="single" w:color="000000" w:sz="4" w:space="0"/>
              <w:bottom w:val="single" w:color="000000" w:sz="4" w:space="0"/>
              <w:right w:val="nil"/>
            </w:tcBorders>
            <w:noWrap w:val="0"/>
            <w:vAlign w:val="center"/>
          </w:tcPr>
          <w:p w14:paraId="10903FD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w:t>
            </w:r>
          </w:p>
        </w:tc>
        <w:tc>
          <w:tcPr>
            <w:tcW w:w="758" w:type="dxa"/>
            <w:vMerge w:val="restart"/>
            <w:tcBorders>
              <w:top w:val="single" w:color="000000" w:sz="4" w:space="0"/>
              <w:left w:val="single" w:color="000000" w:sz="4" w:space="0"/>
              <w:bottom w:val="single" w:color="000000" w:sz="4" w:space="0"/>
              <w:right w:val="single" w:color="000000" w:sz="4" w:space="0"/>
            </w:tcBorders>
            <w:noWrap w:val="0"/>
            <w:vAlign w:val="center"/>
          </w:tcPr>
          <w:p w14:paraId="423E94A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海洋工程建设项目生态环境影响评价审批</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123115C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海洋工程建设项目生态环境影响报告书审批</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335E5B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省级</w:t>
            </w:r>
          </w:p>
          <w:p w14:paraId="2EF6541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5D71A9A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3993A87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4B702ED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217CA8B3">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是否符合海洋生态环境保护相关法律法规、政策以及相关产业政策，是否符合海洋功能区划和生态环境保护规划；是否符合海洋生态红线管控要求；涉及依法划定的自然保护区、风景名胜区及其他需要特别保护的区域的，是否符合国家有关法律法规关于该区域内工程建设生态环境管理的规定；</w:t>
            </w:r>
          </w:p>
          <w:p w14:paraId="16A8AFC0">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2.环评报告的编制、环境现状调查资料包括调查站位、频次等是否符合海洋生态环境技术导则的要求；</w:t>
            </w:r>
          </w:p>
          <w:p w14:paraId="4D6227B7">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3.工程分析是否透彻，对海洋生态环境产生影响的主要环节阐述是否清楚；工程的环境风险分析是否全面准确；工程建设和运营对海洋生态环境产生的影响是否可接受；</w:t>
            </w:r>
          </w:p>
          <w:p w14:paraId="34A21022">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工程建设和运营过程中的环保对策措施和风险防范对策措施是否可行、有效，拟采取的污染防治措施是否确保污染物排放达到国家和地方规定的排放标准；污染物排放是否符合核定的排放指标；海洋生态保护、恢复或补偿对策措施是否可行、有效；</w:t>
            </w:r>
          </w:p>
          <w:p w14:paraId="2143E585">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5.评价结论是否可信；</w:t>
            </w:r>
          </w:p>
          <w:p w14:paraId="7F0E5544">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6.是否符合生态环境影响评价公众参与相关法律法规要求；</w:t>
            </w:r>
          </w:p>
          <w:p w14:paraId="158D10CC">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7.法律规定其他应核验的内容。</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589D9FC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0B57C80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关于海洋工程建设项目生态环境影响报告书的批复</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349DDBA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1.建设项目生态环境影响评价文件报批申请表；</w:t>
            </w:r>
          </w:p>
          <w:p w14:paraId="68CCC21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2.海洋工程建设项目生态环境影响报告书。涉及国家秘密、商业秘密和个人隐私的，申请人应当自行作出删除、遮盖等区分处理，并提交有关说明材料；</w:t>
            </w:r>
          </w:p>
          <w:p w14:paraId="6428250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3.建设项目公众参与说明；</w:t>
            </w:r>
          </w:p>
          <w:p w14:paraId="69A25EB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4.环境现状调查及监测数据资料（报告）汇编。</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C5DEAC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46B96BA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658D6F1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5C74971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4.审批机构批准/不予批准；</w:t>
            </w:r>
          </w:p>
          <w:p w14:paraId="69D40D0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5.审批决定公告；</w:t>
            </w:r>
          </w:p>
          <w:p w14:paraId="61D56AE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6.特殊环节（部分情况下开展）：技术评估、现场勘验、听证等所需时间不计入审批时限。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3B6FFE0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70587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5" w:hRule="atLeast"/>
          <w:jc w:val="center"/>
        </w:trPr>
        <w:tc>
          <w:tcPr>
            <w:tcW w:w="396" w:type="dxa"/>
            <w:vMerge w:val="continue"/>
            <w:tcBorders>
              <w:top w:val="single" w:color="000000" w:sz="4" w:space="0"/>
              <w:left w:val="single" w:color="000000" w:sz="4" w:space="0"/>
              <w:bottom w:val="single" w:color="000000" w:sz="4" w:space="0"/>
              <w:right w:val="nil"/>
            </w:tcBorders>
            <w:noWrap w:val="0"/>
            <w:vAlign w:val="center"/>
          </w:tcPr>
          <w:p w14:paraId="1E217E82">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B97989">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7D37875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海洋工程建设项目生态环境影响报告表审批</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573ECDE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省级</w:t>
            </w:r>
          </w:p>
          <w:p w14:paraId="0908D11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2F0C172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2BC2E67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379C686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73C3768D">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是否符合海洋生态环境保护相关法律法规、政策以及相关产业政策，是否符合海洋功能区划和生态环境保护规划；是否符合海洋生态红线管控要求；涉及依法划定的自然保护区、风景名胜区及其他需要特别保护的区域的，是否符合国家有关法律法规关于该区域内工程建设生态环境管理的规定；</w:t>
            </w:r>
          </w:p>
          <w:p w14:paraId="0B8BF4B8">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2.环评报告的编制、环境现状调查资料包括调查站位、频次等是否符合海洋生态环境技术导则的要求；</w:t>
            </w:r>
          </w:p>
          <w:p w14:paraId="034DA2D6">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3.工程分析是否透彻，对海洋生态环境产生影响的主要环节阐述是否清楚；工程的环境风险分析是否全面准确；工程建设和运营对海洋生态环境产生的影响是否可接受；</w:t>
            </w:r>
          </w:p>
          <w:p w14:paraId="076CCE63">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工程建设和运营过程中的环保对策措施和风险防范对策措施是否可行、有效，拟采取的污染防治措施是否确保污染物排放达到国家和地方规定的排放标准；污染物排放是否符合核定的排放指标；海洋生态保护、恢复或补偿对策措施是否可行、有效；</w:t>
            </w:r>
          </w:p>
          <w:p w14:paraId="444C8F98">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5.评价结论是否可信；</w:t>
            </w:r>
          </w:p>
          <w:p w14:paraId="15C9E7EB">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6.是否符合生态环境影响评价公众参与相关法律法规要求；</w:t>
            </w:r>
          </w:p>
          <w:p w14:paraId="4786297E">
            <w:pPr>
              <w:keepNext w:val="0"/>
              <w:keepLines w:val="0"/>
              <w:pageBreakBefore w:val="0"/>
              <w:widowControl/>
              <w:numPr>
                <w:ilvl w:val="0"/>
                <w:numId w:val="0"/>
              </w:numPr>
              <w:suppressLineNumbers w:val="0"/>
              <w:shd w:val="clear" w:color="auto"/>
              <w:kinsoku/>
              <w:wordWrap/>
              <w:overflowPunct/>
              <w:topLinePunct w:val="0"/>
              <w:autoSpaceDE/>
              <w:autoSpaceDN/>
              <w:bidi w:val="0"/>
              <w:adjustRightInd w:val="0"/>
              <w:snapToGrid/>
              <w:spacing w:line="240" w:lineRule="exact"/>
              <w:ind w:left="0" w:leftChars="0" w:right="0" w:rightChars="0" w:firstLine="0" w:firstLineChars="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7.法律规定其他应核验的内容。</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571E7F9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1A80F34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关于海洋工程建设项目生态环境影响报告表的批复</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7C7063F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1.建设项目生态环境影响评价文件报批申请表；</w:t>
            </w:r>
          </w:p>
          <w:p w14:paraId="55FEF32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2.海洋工程建设项目生态环境影响报告表。涉及国家秘密、商业秘密和个人隐私的，申请人应当自行作出删除、遮盖等区分处理，并提交有关说明材料；</w:t>
            </w:r>
          </w:p>
          <w:p w14:paraId="04BE324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3.环境现状调查及监测数据资料（报告）汇编。</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B49476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36C89D0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0702901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55900A7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4.审批机构批准/不予批准；</w:t>
            </w:r>
          </w:p>
          <w:p w14:paraId="4BFEB6D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5.审批决定公告；</w:t>
            </w:r>
          </w:p>
          <w:p w14:paraId="5A244C4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6.特殊环节（部分情况下开展）：技术评估、现场勘验、听证等所需时间不计入审批时限。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1F0C763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74717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0" w:hRule="atLeast"/>
          <w:jc w:val="center"/>
        </w:trPr>
        <w:tc>
          <w:tcPr>
            <w:tcW w:w="396" w:type="dxa"/>
            <w:vMerge w:val="restart"/>
            <w:tcBorders>
              <w:top w:val="nil"/>
              <w:left w:val="single" w:color="000000" w:sz="4" w:space="0"/>
              <w:bottom w:val="single" w:color="000000" w:sz="4" w:space="0"/>
              <w:right w:val="single" w:color="000000" w:sz="4" w:space="0"/>
            </w:tcBorders>
            <w:noWrap w:val="0"/>
            <w:vAlign w:val="center"/>
          </w:tcPr>
          <w:p w14:paraId="7306267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4</w:t>
            </w:r>
          </w:p>
        </w:tc>
        <w:tc>
          <w:tcPr>
            <w:tcW w:w="758" w:type="dxa"/>
            <w:vMerge w:val="restart"/>
            <w:tcBorders>
              <w:top w:val="nil"/>
              <w:left w:val="single" w:color="000000" w:sz="4" w:space="0"/>
              <w:bottom w:val="single" w:color="000000" w:sz="4" w:space="0"/>
              <w:right w:val="single" w:color="000000" w:sz="4" w:space="0"/>
            </w:tcBorders>
            <w:noWrap w:val="0"/>
            <w:vAlign w:val="center"/>
          </w:tcPr>
          <w:p w14:paraId="7061EFF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排污许可</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2D5D546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排污许可核发简化管理</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4A20415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2E996D7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6E50CDE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626550A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5B98F91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1.是否依法取得建设项目生态环境影响报告书（表）批准文件，或者已经办理生态环境影响登记表备案手续；</w:t>
            </w:r>
          </w:p>
          <w:p w14:paraId="0957142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排污许可证内容是否符合排污许可证申请与核发技术规范、生态环境影响报告书（表）批准文件、重点污染物排放总量控制要求；污染物排放是否符合污染物排放标准要求，排污单位生产经营场所位于未达到国家环境质量标准的重点区域、流域的，污染物排放是否还符合有关地方人民政府关于改善生态环境质量的特别要求；</w:t>
            </w:r>
          </w:p>
          <w:p w14:paraId="03D5524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3.是否采用污染防治设施可以达到许可排放浓度要求或者符合污染防治可行技术；</w:t>
            </w:r>
          </w:p>
          <w:p w14:paraId="565C475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4.自行监测方案的监测点位、指标、频次等符合国家自行监测规范；</w:t>
            </w:r>
          </w:p>
          <w:p w14:paraId="08D0FE1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5.法律规定其他应核验的内容。</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59EB13F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7DDA961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排污许可证</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65D50BB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1.排污许可证申请表；</w:t>
            </w:r>
          </w:p>
          <w:p w14:paraId="4EED708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2.属于城镇和工业污水集中处理设施的，排污单位的纳污范围、管网布置、最终排放去向等说明材料；</w:t>
            </w:r>
          </w:p>
          <w:p w14:paraId="4B73083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3.属于排放重点污染物的新建、改建、扩建项目以及实施技术改造项目的，排污单位通过污染物排放量削减替代获得重点污染物排放总量控制指标的说明材料。</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4EE6B5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6CFFE7C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4D73EC8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511F4D9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4.颁发排污许可证/不予许可；</w:t>
            </w:r>
          </w:p>
          <w:p w14:paraId="53FE5C6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5.特殊环节（部分情况下开展）：现场核查、委托服务机构开展技术性服务所需时间不计入审批时限。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2B71A34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37F64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9" w:hRule="atLeast"/>
          <w:jc w:val="center"/>
        </w:trPr>
        <w:tc>
          <w:tcPr>
            <w:tcW w:w="396" w:type="dxa"/>
            <w:vMerge w:val="continue"/>
            <w:tcBorders>
              <w:top w:val="nil"/>
              <w:left w:val="single" w:color="000000" w:sz="4" w:space="0"/>
              <w:bottom w:val="single" w:color="000000" w:sz="4" w:space="0"/>
              <w:right w:val="single" w:color="000000" w:sz="4" w:space="0"/>
            </w:tcBorders>
            <w:noWrap w:val="0"/>
            <w:vAlign w:val="center"/>
          </w:tcPr>
          <w:p w14:paraId="04C15C73">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nil"/>
              <w:left w:val="single" w:color="000000" w:sz="4" w:space="0"/>
              <w:bottom w:val="single" w:color="000000" w:sz="4" w:space="0"/>
              <w:right w:val="single" w:color="000000" w:sz="4" w:space="0"/>
            </w:tcBorders>
            <w:noWrap w:val="0"/>
            <w:vAlign w:val="center"/>
          </w:tcPr>
          <w:p w14:paraId="35D288CC">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6FB4258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排污许可核发重点管理</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2F67CA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7B7BE2D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3096128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6C30B49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735C534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1.是否依法取得建设项目生态环境影响报告书（表）批准文件，或者已经办理生态环境影响登记表备案手续；</w:t>
            </w:r>
          </w:p>
          <w:p w14:paraId="4E81B82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shd w:val="clear" w:color="auto" w:fill="FFFF00"/>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w:t>
            </w:r>
            <w:r>
              <w:rPr>
                <w:rFonts w:hint="eastAsia" w:ascii="仿宋_GB2312" w:hAnsi="仿宋_GB2312" w:eastAsia="仿宋_GB2312" w:cs="仿宋_GB2312"/>
                <w:i w:val="0"/>
                <w:color w:val="auto"/>
                <w:kern w:val="0"/>
                <w:sz w:val="18"/>
                <w:szCs w:val="18"/>
                <w:highlight w:val="none"/>
                <w:u w:val="none"/>
                <w:shd w:val="clear" w:color="auto" w:fill="auto"/>
                <w:lang w:val="en-US" w:eastAsia="zh-CN" w:bidi="ar"/>
              </w:rPr>
              <w:t>污染物排放是否符合污染物排放标准要求，重点污染物排放是否符合排污许可证申请与核发技术规范、生态环境影响报告书（表）批准文件、重点污染物排放总量控制要求；其中，排污单位生产经营场所位于未达到国家环境质量标准的重点区域、流域的，还应当符合有关地方人民政府关于改善生态环境质量的特别要求；</w:t>
            </w:r>
          </w:p>
          <w:p w14:paraId="093156B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3.是否采用污染防治设施可以达到许可排放浓度要求或者符合污染防治可行技术；</w:t>
            </w:r>
          </w:p>
          <w:p w14:paraId="7F3CBE7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4.自行监测方案的监测点位、指标、频次等是否符合国家自行监测规范；</w:t>
            </w:r>
          </w:p>
          <w:p w14:paraId="7BB6513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5.法律规定其他应核验的内容。</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51E71AE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143794B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排污许可证</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04739DE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1.排污许可证申请表；</w:t>
            </w:r>
          </w:p>
          <w:p w14:paraId="6814633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2.属于实行排污许可重点管理的，排污单位在提出申请前已通过全国排污许可证管理信息平台公开单位基本信息、拟申请许可事项的说明材料；</w:t>
            </w:r>
          </w:p>
          <w:p w14:paraId="0DE2D62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3.属于城镇和工业污水集中处理设施的，排污单位的纳污范围、管网布置、最终排放去向等说明材料；</w:t>
            </w:r>
          </w:p>
          <w:p w14:paraId="2BC0639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4.属于排放重点污染物的新建、改建、扩建项目以及实施技术改造项目的，排污单位通过污染物排放量削减替代获得重点污染物排放总量控制指标的说明材料。</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DF4D7E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4BA75EF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1B7B0E4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60A1F5C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4.颁发排污许可证/不予许可；</w:t>
            </w:r>
          </w:p>
          <w:p w14:paraId="01DE50C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5.特殊环节（部分情况下开展）：现场核查、委托服务机构开展技术性服务所需时间不计入审批时限。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39F9BCC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4A351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10" w:hRule="atLeast"/>
          <w:jc w:val="center"/>
        </w:trPr>
        <w:tc>
          <w:tcPr>
            <w:tcW w:w="396" w:type="dxa"/>
            <w:vMerge w:val="continue"/>
            <w:tcBorders>
              <w:top w:val="nil"/>
              <w:left w:val="single" w:color="000000" w:sz="4" w:space="0"/>
              <w:bottom w:val="single" w:color="000000" w:sz="4" w:space="0"/>
              <w:right w:val="single" w:color="000000" w:sz="4" w:space="0"/>
            </w:tcBorders>
            <w:noWrap w:val="0"/>
            <w:vAlign w:val="center"/>
          </w:tcPr>
          <w:p w14:paraId="1BDB45B4">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nil"/>
              <w:left w:val="single" w:color="000000" w:sz="4" w:space="0"/>
              <w:bottom w:val="single" w:color="000000" w:sz="4" w:space="0"/>
              <w:right w:val="single" w:color="000000" w:sz="4" w:space="0"/>
            </w:tcBorders>
            <w:noWrap w:val="0"/>
            <w:vAlign w:val="center"/>
          </w:tcPr>
          <w:p w14:paraId="4054FE09">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415DA4A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排污许可延续</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02B2B8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3AF1FB6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0ED8F84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4911B8E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12F7567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1.是否依法取得建设项目生态环境影响报告书（表）批准文件，或者已经办理生态环境影响登记表备案手续；</w:t>
            </w:r>
          </w:p>
          <w:p w14:paraId="0A1F913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shd w:val="clear" w:color="auto" w:fill="FFFF00"/>
                <w:lang w:val="en-US" w:eastAsia="zh-CN" w:bidi="ar"/>
              </w:rPr>
            </w:pPr>
            <w:r>
              <w:rPr>
                <w:rFonts w:hint="eastAsia" w:ascii="仿宋_GB2312" w:hAnsi="仿宋_GB2312" w:eastAsia="仿宋_GB2312" w:cs="仿宋_GB2312"/>
                <w:i w:val="0"/>
                <w:color w:val="auto"/>
                <w:kern w:val="0"/>
                <w:sz w:val="18"/>
                <w:szCs w:val="18"/>
                <w:highlight w:val="none"/>
                <w:u w:val="none"/>
                <w:shd w:val="clear" w:color="auto" w:fill="auto"/>
                <w:lang w:val="en-US" w:eastAsia="zh-CN" w:bidi="ar"/>
              </w:rPr>
              <w:t>2.污染物排放是否符合污染物排放标准要求，重点污染物排放是否符合排污许可证申请与核发技术规范、生态环境影响报告书（表）批准文件、重点污染物排放总量控制要求；其中，排污单位生产经营场所位于未达到国家环境质量标准的重点区域、流域的，还应当符合有关地方人民政府关于改善生态环境质量的特别要求；</w:t>
            </w:r>
          </w:p>
          <w:p w14:paraId="06BD969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3.是否采用污染防治设施可以达到许可排放浓度要求或者符合污染防治可行技术；</w:t>
            </w:r>
          </w:p>
          <w:p w14:paraId="73D8C5D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4.自行监测方案的监测点位、指标、频次等符合国家自行监测规范；</w:t>
            </w:r>
          </w:p>
          <w:p w14:paraId="6BFC23D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5.法律规定其他应核验的内容。</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6D62E5A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78F294C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排污许可证</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490B057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排污许可证申请表。</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4CD1AD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39100E6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6714305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621890C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4.颁发排污许可证/不予许可；</w:t>
            </w:r>
          </w:p>
          <w:p w14:paraId="387BC81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5.特殊环节（部分情况下开展）：现场核查、委托服务机构开展技术性服务所需时间不计入审批时限。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2F525EA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07A17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1" w:hRule="atLeast"/>
          <w:jc w:val="center"/>
        </w:trPr>
        <w:tc>
          <w:tcPr>
            <w:tcW w:w="396" w:type="dxa"/>
            <w:vMerge w:val="continue"/>
            <w:tcBorders>
              <w:top w:val="nil"/>
              <w:left w:val="single" w:color="000000" w:sz="4" w:space="0"/>
              <w:bottom w:val="single" w:color="000000" w:sz="4" w:space="0"/>
              <w:right w:val="single" w:color="000000" w:sz="4" w:space="0"/>
            </w:tcBorders>
            <w:noWrap w:val="0"/>
            <w:vAlign w:val="center"/>
          </w:tcPr>
          <w:p w14:paraId="57E39415">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nil"/>
              <w:left w:val="single" w:color="000000" w:sz="4" w:space="0"/>
              <w:bottom w:val="single" w:color="000000" w:sz="4" w:space="0"/>
              <w:right w:val="single" w:color="000000" w:sz="4" w:space="0"/>
            </w:tcBorders>
            <w:noWrap w:val="0"/>
            <w:vAlign w:val="center"/>
          </w:tcPr>
          <w:p w14:paraId="7439387E">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534C84D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排污许可变更</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136B782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5664EFC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3E149E4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05B86C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DB46A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shd w:val="clear" w:color="auto" w:fill="auto"/>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1.是否依法取得建设项目生态环境影响报告书（表）批准文件，或者已经办理生态</w:t>
            </w:r>
            <w:r>
              <w:rPr>
                <w:rFonts w:hint="eastAsia" w:ascii="仿宋_GB2312" w:hAnsi="仿宋_GB2312" w:eastAsia="仿宋_GB2312" w:cs="仿宋_GB2312"/>
                <w:i w:val="0"/>
                <w:color w:val="auto"/>
                <w:kern w:val="0"/>
                <w:sz w:val="18"/>
                <w:szCs w:val="18"/>
                <w:highlight w:val="none"/>
                <w:u w:val="none"/>
                <w:shd w:val="clear" w:color="auto" w:fill="auto"/>
                <w:lang w:val="en-US" w:eastAsia="zh-CN" w:bidi="ar"/>
              </w:rPr>
              <w:t>环境影响登记表备案手续；</w:t>
            </w:r>
          </w:p>
          <w:p w14:paraId="09915FA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shd w:val="clear" w:color="auto" w:fill="auto"/>
                <w:lang w:val="en-US" w:eastAsia="zh-CN" w:bidi="ar"/>
              </w:rPr>
            </w:pPr>
            <w:r>
              <w:rPr>
                <w:rFonts w:hint="eastAsia" w:ascii="仿宋_GB2312" w:hAnsi="仿宋_GB2312" w:eastAsia="仿宋_GB2312" w:cs="仿宋_GB2312"/>
                <w:i w:val="0"/>
                <w:color w:val="auto"/>
                <w:kern w:val="0"/>
                <w:sz w:val="18"/>
                <w:szCs w:val="18"/>
                <w:highlight w:val="none"/>
                <w:u w:val="none"/>
                <w:shd w:val="clear" w:color="auto" w:fill="auto"/>
                <w:lang w:val="en-US" w:eastAsia="zh-CN" w:bidi="ar"/>
              </w:rPr>
              <w:t>2.污染物排放是否符合污染物排放标准要求，重点污染物排放是否符合排污许可证申请与核发技术规范、生态环境影响报告书（表）批准文件、重点污染物排放总量控制要求；其中，排污单位生产经营场所位于未达到国家环境质量标准的重点区域、流域的，还应当符合有关地方人民政府关于改善生态环境质量的特别要求；</w:t>
            </w:r>
          </w:p>
          <w:p w14:paraId="4770130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shd w:val="clear" w:color="auto" w:fill="auto"/>
                <w:lang w:val="en-US" w:eastAsia="zh-CN" w:bidi="ar"/>
              </w:rPr>
              <w:t>3.是否采用污染防治设施可以达到许可排放</w:t>
            </w:r>
            <w:r>
              <w:rPr>
                <w:rFonts w:hint="eastAsia" w:ascii="仿宋_GB2312" w:hAnsi="仿宋_GB2312" w:eastAsia="仿宋_GB2312" w:cs="仿宋_GB2312"/>
                <w:i w:val="0"/>
                <w:color w:val="auto"/>
                <w:kern w:val="0"/>
                <w:sz w:val="18"/>
                <w:szCs w:val="18"/>
                <w:highlight w:val="none"/>
                <w:u w:val="none"/>
                <w:lang w:val="en-US" w:eastAsia="zh-CN" w:bidi="ar"/>
              </w:rPr>
              <w:t>浓度要求或者符合污染防治可行技术；</w:t>
            </w:r>
          </w:p>
          <w:p w14:paraId="71C379A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4.自行监测方案的监测点位、指标、频次等符合国家自行监测规范；</w:t>
            </w:r>
          </w:p>
          <w:p w14:paraId="61CB4F7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5.法律规定其他应核验的内容。</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56288C3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2C43387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排污许可证</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6BBADE8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排污许可证申请表。</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A1678D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75889BB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1C1ED9B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22D80D1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4.颁发排污许可证/不予许可；</w:t>
            </w:r>
          </w:p>
          <w:p w14:paraId="1640D30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5.特殊环节（部分情况下开展）：现场核查、委托服务机构开展技术性服务所需时间不计入审批时限。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0EE2F8C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53BAA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7" w:hRule="atLeast"/>
          <w:jc w:val="center"/>
        </w:trPr>
        <w:tc>
          <w:tcPr>
            <w:tcW w:w="396" w:type="dxa"/>
            <w:vMerge w:val="continue"/>
            <w:tcBorders>
              <w:top w:val="nil"/>
              <w:left w:val="single" w:color="000000" w:sz="4" w:space="0"/>
              <w:bottom w:val="single" w:color="000000" w:sz="4" w:space="0"/>
              <w:right w:val="single" w:color="000000" w:sz="4" w:space="0"/>
            </w:tcBorders>
            <w:noWrap w:val="0"/>
            <w:vAlign w:val="center"/>
          </w:tcPr>
          <w:p w14:paraId="3973B49F">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nil"/>
              <w:left w:val="single" w:color="000000" w:sz="4" w:space="0"/>
              <w:bottom w:val="single" w:color="000000" w:sz="4" w:space="0"/>
              <w:right w:val="single" w:color="000000" w:sz="4" w:space="0"/>
            </w:tcBorders>
            <w:noWrap w:val="0"/>
            <w:vAlign w:val="center"/>
          </w:tcPr>
          <w:p w14:paraId="52D90EDD">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11AC875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排污许可补办</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37B393F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0C10ADF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4DBFEE0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2255DC2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3E99488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1.前期是否已取得排污许可证；</w:t>
            </w:r>
          </w:p>
          <w:p w14:paraId="455B223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2.是否提交原排污许可证（被损毁的）。</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34C01F4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14DB413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排污许可证</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375A167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1.补办申请书；</w:t>
            </w:r>
          </w:p>
          <w:p w14:paraId="1354106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2.遗失声明；</w:t>
            </w:r>
          </w:p>
          <w:p w14:paraId="133807B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3.原排污许可证（被损毁的）。</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0EFF511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2059C5E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4F2AE92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7A027CA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4.颁发排污许可证/不予许可；</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253D35C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76E17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9" w:hRule="atLeast"/>
          <w:jc w:val="center"/>
        </w:trPr>
        <w:tc>
          <w:tcPr>
            <w:tcW w:w="396" w:type="dxa"/>
            <w:vMerge w:val="continue"/>
            <w:tcBorders>
              <w:top w:val="nil"/>
              <w:left w:val="single" w:color="000000" w:sz="4" w:space="0"/>
              <w:bottom w:val="single" w:color="000000" w:sz="4" w:space="0"/>
              <w:right w:val="single" w:color="000000" w:sz="4" w:space="0"/>
            </w:tcBorders>
            <w:noWrap w:val="0"/>
            <w:vAlign w:val="center"/>
          </w:tcPr>
          <w:p w14:paraId="2761C87D">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nil"/>
              <w:left w:val="single" w:color="000000" w:sz="4" w:space="0"/>
              <w:bottom w:val="single" w:color="000000" w:sz="4" w:space="0"/>
              <w:right w:val="single" w:color="000000" w:sz="4" w:space="0"/>
            </w:tcBorders>
            <w:noWrap w:val="0"/>
            <w:vAlign w:val="center"/>
          </w:tcPr>
          <w:p w14:paraId="0C5A820F">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76C81AC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排污许可注销</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1F76C5B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60C0441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1324FF7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3F738DC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7AD5816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1.排污许可证是否有效期届满未延续；</w:t>
            </w:r>
          </w:p>
          <w:p w14:paraId="16D44E6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2.排污单位是否被依法终止；</w:t>
            </w:r>
          </w:p>
          <w:p w14:paraId="731AE99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3.是否提交原排污许可证。</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2A82837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523A226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关于排污许可证注销的行政许可决定书</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5C1442D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1.注销申请书；</w:t>
            </w:r>
          </w:p>
          <w:p w14:paraId="527FC6D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2.原排污许可证。</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CDBAF7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3866DD1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44946FA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7584B3D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4.审批机构批准/不予批准。</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161BB67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46270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5" w:hRule="atLeast"/>
          <w:jc w:val="center"/>
        </w:trPr>
        <w:tc>
          <w:tcPr>
            <w:tcW w:w="396" w:type="dxa"/>
            <w:vMerge w:val="restart"/>
            <w:tcBorders>
              <w:top w:val="single" w:color="000000" w:sz="4" w:space="0"/>
              <w:left w:val="single" w:color="000000" w:sz="4" w:space="0"/>
              <w:right w:val="single" w:color="000000" w:sz="4" w:space="0"/>
            </w:tcBorders>
            <w:noWrap w:val="0"/>
            <w:vAlign w:val="center"/>
          </w:tcPr>
          <w:p w14:paraId="03377EE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w:t>
            </w:r>
          </w:p>
        </w:tc>
        <w:tc>
          <w:tcPr>
            <w:tcW w:w="758" w:type="dxa"/>
            <w:vMerge w:val="restart"/>
            <w:tcBorders>
              <w:top w:val="single" w:color="000000" w:sz="4" w:space="0"/>
              <w:left w:val="single" w:color="000000" w:sz="4" w:space="0"/>
              <w:right w:val="single" w:color="000000" w:sz="4" w:space="0"/>
            </w:tcBorders>
            <w:shd w:val="clear" w:color="auto" w:fill="auto"/>
            <w:noWrap w:val="0"/>
            <w:vAlign w:val="center"/>
          </w:tcPr>
          <w:p w14:paraId="4C9BB0F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江河、湖泊新建、改建或者扩大排污口审批</w:t>
            </w:r>
          </w:p>
        </w:tc>
        <w:tc>
          <w:tcPr>
            <w:tcW w:w="1890" w:type="dxa"/>
            <w:tcBorders>
              <w:top w:val="single" w:color="000000" w:sz="4" w:space="0"/>
              <w:left w:val="single" w:color="000000" w:sz="4" w:space="0"/>
              <w:bottom w:val="single" w:color="auto" w:sz="4" w:space="0"/>
              <w:right w:val="single" w:color="000000" w:sz="4" w:space="0"/>
            </w:tcBorders>
            <w:noWrap w:val="0"/>
            <w:vAlign w:val="center"/>
          </w:tcPr>
          <w:p w14:paraId="438B4F2B">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sz w:val="18"/>
                <w:szCs w:val="18"/>
                <w:highlight w:val="none"/>
                <w:u w:val="none"/>
              </w:rPr>
              <w:t>新设、改设或者扩大入河排污口审批</w:t>
            </w:r>
          </w:p>
        </w:tc>
        <w:tc>
          <w:tcPr>
            <w:tcW w:w="630" w:type="dxa"/>
            <w:tcBorders>
              <w:top w:val="single" w:color="000000" w:sz="4" w:space="0"/>
              <w:left w:val="single" w:color="000000" w:sz="4" w:space="0"/>
              <w:bottom w:val="single" w:color="auto" w:sz="4" w:space="0"/>
              <w:right w:val="single" w:color="000000" w:sz="4" w:space="0"/>
            </w:tcBorders>
            <w:noWrap w:val="0"/>
            <w:vAlign w:val="center"/>
          </w:tcPr>
          <w:p w14:paraId="60BA88A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省级</w:t>
            </w:r>
          </w:p>
          <w:p w14:paraId="1F2049D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auto" w:sz="4" w:space="0"/>
              <w:right w:val="single" w:color="000000" w:sz="4" w:space="0"/>
            </w:tcBorders>
            <w:noWrap w:val="0"/>
            <w:vAlign w:val="center"/>
          </w:tcPr>
          <w:p w14:paraId="052DB08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auto" w:sz="4" w:space="0"/>
              <w:right w:val="single" w:color="000000" w:sz="4" w:space="0"/>
            </w:tcBorders>
            <w:noWrap w:val="0"/>
            <w:vAlign w:val="center"/>
          </w:tcPr>
          <w:p w14:paraId="3931135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auto" w:sz="4" w:space="0"/>
              <w:right w:val="single" w:color="000000" w:sz="4" w:space="0"/>
            </w:tcBorders>
            <w:noWrap w:val="0"/>
            <w:vAlign w:val="center"/>
          </w:tcPr>
          <w:p w14:paraId="78B4E52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auto" w:sz="4" w:space="0"/>
              <w:right w:val="single" w:color="000000" w:sz="4" w:space="0"/>
            </w:tcBorders>
            <w:noWrap w:val="0"/>
            <w:vAlign w:val="center"/>
          </w:tcPr>
          <w:p w14:paraId="40F16BA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有下列情形之一的，不予同意设置入河排污口：</w:t>
            </w:r>
          </w:p>
          <w:p w14:paraId="5F72136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（1）在饮用水水源保护区内设置入河排污口的；</w:t>
            </w:r>
          </w:p>
          <w:p w14:paraId="33F1E0A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（2）在省级以上人民政府要求削减排污总量的水域设置入河排污口的；</w:t>
            </w:r>
          </w:p>
          <w:p w14:paraId="652A98C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（3）入河排污口设置可能使水域水质达不到水功能区要求的；</w:t>
            </w:r>
          </w:p>
          <w:p w14:paraId="67F6FB6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（4）入河排污口设置直接影响合法取水户用水安全的；</w:t>
            </w:r>
          </w:p>
          <w:p w14:paraId="047C4F6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（5）入河排污口设置不符合防洪要求的；</w:t>
            </w:r>
          </w:p>
          <w:p w14:paraId="07C1AA3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（6）在风景名胜区水体、重要渔业水体和其他具有特殊经济文化价值的水体的保护区内设置新的入河排污口的；</w:t>
            </w:r>
          </w:p>
          <w:p w14:paraId="3761EE8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（7）在南水北调东线工程干线、中线工程总干渠设置入河排污口的；</w:t>
            </w:r>
          </w:p>
        </w:tc>
        <w:tc>
          <w:tcPr>
            <w:tcW w:w="844" w:type="dxa"/>
            <w:tcBorders>
              <w:top w:val="single" w:color="000000" w:sz="4" w:space="0"/>
              <w:left w:val="single" w:color="000000" w:sz="4" w:space="0"/>
              <w:bottom w:val="single" w:color="auto" w:sz="4" w:space="0"/>
              <w:right w:val="single" w:color="000000" w:sz="4" w:space="0"/>
            </w:tcBorders>
            <w:noWrap w:val="0"/>
            <w:vAlign w:val="center"/>
          </w:tcPr>
          <w:p w14:paraId="578A87F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auto" w:sz="4" w:space="0"/>
              <w:right w:val="single" w:color="000000" w:sz="4" w:space="0"/>
            </w:tcBorders>
            <w:noWrap w:val="0"/>
            <w:vAlign w:val="center"/>
          </w:tcPr>
          <w:p w14:paraId="3075959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同意/不予设置入河排污口的决定书</w:t>
            </w:r>
          </w:p>
        </w:tc>
        <w:tc>
          <w:tcPr>
            <w:tcW w:w="3020" w:type="dxa"/>
            <w:tcBorders>
              <w:top w:val="single" w:color="000000" w:sz="4" w:space="0"/>
              <w:left w:val="single" w:color="000000" w:sz="4" w:space="0"/>
              <w:bottom w:val="single" w:color="auto" w:sz="4" w:space="0"/>
              <w:right w:val="single" w:color="000000" w:sz="4" w:space="0"/>
            </w:tcBorders>
            <w:noWrap w:val="0"/>
            <w:vAlign w:val="center"/>
          </w:tcPr>
          <w:p w14:paraId="664D6D1C">
            <w:pPr>
              <w:keepNext w:val="0"/>
              <w:keepLines w:val="0"/>
              <w:pageBreakBefore w:val="0"/>
              <w:widowControl/>
              <w:numPr>
                <w:ilvl w:val="0"/>
                <w:numId w:val="2"/>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入河排污口设置申请书；</w:t>
            </w:r>
          </w:p>
          <w:p w14:paraId="3DF4EC43">
            <w:pPr>
              <w:keepNext w:val="0"/>
              <w:keepLines w:val="0"/>
              <w:pageBreakBefore w:val="0"/>
              <w:widowControl/>
              <w:numPr>
                <w:ilvl w:val="0"/>
                <w:numId w:val="2"/>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入河排污口设置论证报告或简要分析材料；</w:t>
            </w:r>
          </w:p>
          <w:p w14:paraId="63563730">
            <w:pPr>
              <w:keepNext w:val="0"/>
              <w:keepLines w:val="0"/>
              <w:pageBreakBefore w:val="0"/>
              <w:widowControl/>
              <w:numPr>
                <w:ilvl w:val="0"/>
                <w:numId w:val="2"/>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建设项目依据文件。</w:t>
            </w:r>
          </w:p>
        </w:tc>
        <w:tc>
          <w:tcPr>
            <w:tcW w:w="2754" w:type="dxa"/>
            <w:tcBorders>
              <w:top w:val="single" w:color="000000" w:sz="4" w:space="0"/>
              <w:left w:val="single" w:color="000000" w:sz="4" w:space="0"/>
              <w:bottom w:val="single" w:color="auto" w:sz="4" w:space="0"/>
              <w:right w:val="single" w:color="000000" w:sz="4" w:space="0"/>
            </w:tcBorders>
            <w:noWrap w:val="0"/>
            <w:vAlign w:val="center"/>
          </w:tcPr>
          <w:p w14:paraId="339B9FC4">
            <w:pPr>
              <w:keepNext w:val="0"/>
              <w:keepLines w:val="0"/>
              <w:pageBreakBefore w:val="0"/>
              <w:widowControl/>
              <w:numPr>
                <w:ilvl w:val="0"/>
                <w:numId w:val="3"/>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申请人申请；</w:t>
            </w:r>
          </w:p>
          <w:p w14:paraId="208F8BD5">
            <w:pPr>
              <w:keepNext w:val="0"/>
              <w:keepLines w:val="0"/>
              <w:pageBreakBefore w:val="0"/>
              <w:widowControl/>
              <w:numPr>
                <w:ilvl w:val="0"/>
                <w:numId w:val="3"/>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审批机构受理/不予受理；</w:t>
            </w:r>
          </w:p>
          <w:p w14:paraId="6F79EB16">
            <w:pPr>
              <w:keepNext w:val="0"/>
              <w:keepLines w:val="0"/>
              <w:pageBreakBefore w:val="0"/>
              <w:widowControl/>
              <w:numPr>
                <w:ilvl w:val="0"/>
                <w:numId w:val="3"/>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审批机构审查；</w:t>
            </w:r>
          </w:p>
          <w:p w14:paraId="28DE0055">
            <w:pPr>
              <w:keepNext w:val="0"/>
              <w:keepLines w:val="0"/>
              <w:pageBreakBefore w:val="0"/>
              <w:widowControl/>
              <w:numPr>
                <w:ilvl w:val="0"/>
                <w:numId w:val="3"/>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审批机构决定；</w:t>
            </w:r>
          </w:p>
          <w:p w14:paraId="56041063">
            <w:pPr>
              <w:keepNext w:val="0"/>
              <w:keepLines w:val="0"/>
              <w:pageBreakBefore w:val="0"/>
              <w:widowControl/>
              <w:numPr>
                <w:ilvl w:val="0"/>
                <w:numId w:val="3"/>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特殊环节（部分情况下开展）：委托技术性服务、专家评审、听证等所需时间不计入审批时限。</w:t>
            </w:r>
          </w:p>
        </w:tc>
        <w:tc>
          <w:tcPr>
            <w:tcW w:w="907" w:type="dxa"/>
            <w:tcBorders>
              <w:top w:val="single" w:color="000000" w:sz="4" w:space="0"/>
              <w:left w:val="single" w:color="000000" w:sz="4" w:space="0"/>
              <w:bottom w:val="single" w:color="auto" w:sz="4" w:space="0"/>
              <w:right w:val="single" w:color="000000" w:sz="4" w:space="0"/>
            </w:tcBorders>
            <w:noWrap w:val="0"/>
            <w:vAlign w:val="center"/>
          </w:tcPr>
          <w:p w14:paraId="28CC9AF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3B906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5" w:hRule="atLeast"/>
          <w:jc w:val="center"/>
        </w:trPr>
        <w:tc>
          <w:tcPr>
            <w:tcW w:w="396" w:type="dxa"/>
            <w:vMerge w:val="continue"/>
            <w:tcBorders>
              <w:left w:val="single" w:color="000000" w:sz="4" w:space="0"/>
              <w:bottom w:val="single" w:color="000000" w:sz="4" w:space="0"/>
              <w:right w:val="single" w:color="000000" w:sz="4" w:space="0"/>
            </w:tcBorders>
            <w:noWrap w:val="0"/>
            <w:vAlign w:val="center"/>
          </w:tcPr>
          <w:p w14:paraId="05E0040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p>
        </w:tc>
        <w:tc>
          <w:tcPr>
            <w:tcW w:w="758" w:type="dxa"/>
            <w:vMerge w:val="continue"/>
            <w:tcBorders>
              <w:left w:val="single" w:color="000000" w:sz="4" w:space="0"/>
              <w:bottom w:val="single" w:color="000000" w:sz="4" w:space="0"/>
              <w:right w:val="single" w:color="000000" w:sz="4" w:space="0"/>
            </w:tcBorders>
            <w:shd w:val="clear" w:color="auto" w:fill="auto"/>
            <w:noWrap w:val="0"/>
            <w:vAlign w:val="center"/>
          </w:tcPr>
          <w:p w14:paraId="7E15648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p>
        </w:tc>
        <w:tc>
          <w:tcPr>
            <w:tcW w:w="1890" w:type="dxa"/>
            <w:tcBorders>
              <w:top w:val="single" w:color="auto" w:sz="4" w:space="0"/>
              <w:left w:val="single" w:color="000000" w:sz="4" w:space="0"/>
              <w:bottom w:val="single" w:color="000000" w:sz="4" w:space="0"/>
              <w:right w:val="single" w:color="000000" w:sz="4" w:space="0"/>
            </w:tcBorders>
            <w:noWrap w:val="0"/>
            <w:vAlign w:val="center"/>
          </w:tcPr>
          <w:p w14:paraId="573AE457">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变更、注销入河排污口审批</w:t>
            </w:r>
          </w:p>
        </w:tc>
        <w:tc>
          <w:tcPr>
            <w:tcW w:w="63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2C3975A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省级</w:t>
            </w:r>
          </w:p>
          <w:p w14:paraId="7CB38C0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leftChars="0" w:right="0" w:rightChars="0"/>
              <w:jc w:val="center"/>
              <w:textAlignment w:val="center"/>
              <w:rPr>
                <w:rFonts w:hint="eastAsia" w:ascii="仿宋_GB2312" w:hAnsi="仿宋_GB2312" w:eastAsia="仿宋_GB2312" w:cs="仿宋_GB2312"/>
                <w:i w:val="0"/>
                <w:color w:val="auto"/>
                <w:kern w:val="2"/>
                <w:sz w:val="18"/>
                <w:szCs w:val="18"/>
                <w:highlight w:val="none"/>
                <w:u w:val="none"/>
                <w:lang w:val="en-US" w:eastAsia="zh-CN" w:bidi="ar-SA"/>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13BBDF6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leftChars="0" w:right="0" w:rightChars="0"/>
              <w:jc w:val="center"/>
              <w:textAlignment w:val="center"/>
              <w:rPr>
                <w:rFonts w:hint="eastAsia" w:ascii="仿宋_GB2312" w:hAnsi="仿宋_GB2312" w:eastAsia="仿宋_GB2312" w:cs="仿宋_GB2312"/>
                <w:i w:val="0"/>
                <w:color w:val="auto"/>
                <w:kern w:val="2"/>
                <w:sz w:val="18"/>
                <w:szCs w:val="18"/>
                <w:highlight w:val="none"/>
                <w:u w:val="none"/>
                <w:lang w:val="en-US" w:eastAsia="zh-CN" w:bidi="ar-SA"/>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491A02C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leftChars="0" w:right="0" w:rightChars="0"/>
              <w:jc w:val="center"/>
              <w:textAlignment w:val="center"/>
              <w:rPr>
                <w:rFonts w:hint="eastAsia" w:ascii="仿宋_GB2312" w:hAnsi="仿宋_GB2312" w:eastAsia="仿宋_GB2312" w:cs="仿宋_GB2312"/>
                <w:i w:val="0"/>
                <w:color w:val="auto"/>
                <w:kern w:val="2"/>
                <w:sz w:val="18"/>
                <w:szCs w:val="18"/>
                <w:highlight w:val="none"/>
                <w:u w:val="none"/>
                <w:lang w:val="en-US" w:eastAsia="zh-CN" w:bidi="ar-SA"/>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653E8CF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leftChars="0" w:right="0" w:rightChars="0"/>
              <w:jc w:val="center"/>
              <w:textAlignment w:val="center"/>
              <w:rPr>
                <w:rFonts w:hint="eastAsia" w:ascii="仿宋_GB2312" w:hAnsi="仿宋_GB2312" w:eastAsia="仿宋_GB2312" w:cs="仿宋_GB2312"/>
                <w:i w:val="0"/>
                <w:color w:val="auto"/>
                <w:kern w:val="2"/>
                <w:sz w:val="18"/>
                <w:szCs w:val="18"/>
                <w:highlight w:val="none"/>
                <w:u w:val="none"/>
                <w:lang w:val="en-US" w:eastAsia="zh-CN" w:bidi="ar-SA"/>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auto" w:sz="4" w:space="0"/>
              <w:left w:val="single" w:color="000000" w:sz="4" w:space="0"/>
              <w:bottom w:val="single" w:color="000000" w:sz="4" w:space="0"/>
              <w:right w:val="single" w:color="000000" w:sz="4" w:space="0"/>
            </w:tcBorders>
            <w:noWrap w:val="0"/>
            <w:vAlign w:val="center"/>
          </w:tcPr>
          <w:p w14:paraId="1DB21A6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变更：</w:t>
            </w:r>
          </w:p>
          <w:p w14:paraId="5A5FED2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是否与企业变更后的工商营业执照一致。</w:t>
            </w:r>
          </w:p>
          <w:p w14:paraId="3B63E1A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p>
          <w:p w14:paraId="70CEDF8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注销：</w:t>
            </w:r>
          </w:p>
          <w:p w14:paraId="4ED0234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是否已自行拆除或者关闭入河排污口。</w:t>
            </w:r>
          </w:p>
        </w:tc>
        <w:tc>
          <w:tcPr>
            <w:tcW w:w="844"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7E8DD4A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leftChars="0" w:right="0" w:rightChars="0"/>
              <w:jc w:val="center"/>
              <w:textAlignment w:val="center"/>
              <w:rPr>
                <w:rFonts w:hint="eastAsia" w:ascii="仿宋_GB2312" w:hAnsi="仿宋_GB2312" w:eastAsia="仿宋_GB2312" w:cs="仿宋_GB2312"/>
                <w:i w:val="0"/>
                <w:color w:val="auto"/>
                <w:kern w:val="2"/>
                <w:sz w:val="18"/>
                <w:szCs w:val="18"/>
                <w:highlight w:val="none"/>
                <w:u w:val="none"/>
                <w:lang w:val="en-US" w:eastAsia="zh-CN" w:bidi="ar-SA"/>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auto" w:sz="4" w:space="0"/>
              <w:left w:val="single" w:color="000000" w:sz="4" w:space="0"/>
              <w:bottom w:val="single" w:color="000000" w:sz="4" w:space="0"/>
              <w:right w:val="single" w:color="000000" w:sz="4" w:space="0"/>
            </w:tcBorders>
            <w:noWrap w:val="0"/>
            <w:vAlign w:val="center"/>
          </w:tcPr>
          <w:p w14:paraId="751203A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入河排污口变更（注销）决定书</w:t>
            </w:r>
          </w:p>
        </w:tc>
        <w:tc>
          <w:tcPr>
            <w:tcW w:w="3020" w:type="dxa"/>
            <w:tcBorders>
              <w:top w:val="single" w:color="auto" w:sz="4" w:space="0"/>
              <w:left w:val="single" w:color="000000" w:sz="4" w:space="0"/>
              <w:bottom w:val="single" w:color="000000" w:sz="4" w:space="0"/>
              <w:right w:val="single" w:color="000000" w:sz="4" w:space="0"/>
            </w:tcBorders>
            <w:noWrap w:val="0"/>
            <w:vAlign w:val="center"/>
          </w:tcPr>
          <w:p w14:paraId="0365B412">
            <w:pPr>
              <w:keepNext w:val="0"/>
              <w:keepLines w:val="0"/>
              <w:pageBreakBefore w:val="0"/>
              <w:widowControl/>
              <w:numPr>
                <w:ilvl w:val="-1"/>
                <w:numId w:val="0"/>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入河排污口变更(注销)申请书</w:t>
            </w:r>
          </w:p>
        </w:tc>
        <w:tc>
          <w:tcPr>
            <w:tcW w:w="2754" w:type="dxa"/>
            <w:tcBorders>
              <w:top w:val="single" w:color="auto" w:sz="4" w:space="0"/>
              <w:left w:val="single" w:color="000000" w:sz="4" w:space="0"/>
              <w:bottom w:val="single" w:color="000000" w:sz="4" w:space="0"/>
              <w:right w:val="single" w:color="000000" w:sz="4" w:space="0"/>
            </w:tcBorders>
            <w:noWrap w:val="0"/>
            <w:vAlign w:val="center"/>
          </w:tcPr>
          <w:p w14:paraId="15F11566">
            <w:pPr>
              <w:keepNext w:val="0"/>
              <w:keepLines w:val="0"/>
              <w:pageBreakBefore w:val="0"/>
              <w:widowControl/>
              <w:numPr>
                <w:ilvl w:val="0"/>
                <w:numId w:val="4"/>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申请人申请；</w:t>
            </w:r>
          </w:p>
          <w:p w14:paraId="6C4392A8">
            <w:pPr>
              <w:keepNext w:val="0"/>
              <w:keepLines w:val="0"/>
              <w:pageBreakBefore w:val="0"/>
              <w:widowControl/>
              <w:numPr>
                <w:ilvl w:val="0"/>
                <w:numId w:val="4"/>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审批机构受理/不予受理；</w:t>
            </w:r>
          </w:p>
          <w:p w14:paraId="64603946">
            <w:pPr>
              <w:keepNext w:val="0"/>
              <w:keepLines w:val="0"/>
              <w:pageBreakBefore w:val="0"/>
              <w:widowControl/>
              <w:numPr>
                <w:ilvl w:val="0"/>
                <w:numId w:val="4"/>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审批机构审查；</w:t>
            </w:r>
          </w:p>
          <w:p w14:paraId="1EC68D18">
            <w:pPr>
              <w:widowControl/>
              <w:numPr>
                <w:ilvl w:val="0"/>
                <w:numId w:val="4"/>
              </w:numPr>
              <w:shd w:val="clear" w:color="auto"/>
              <w:adjustRightInd w:val="0"/>
              <w:spacing w:line="240" w:lineRule="exact"/>
              <w:jc w:val="left"/>
              <w:textAlignment w:val="center"/>
              <w:rPr>
                <w:rFonts w:hint="eastAsia" w:ascii="仿宋_GB2312" w:hAnsi="仿宋_GB2312" w:eastAsia="仿宋_GB2312" w:cs="仿宋_GB2312"/>
                <w:color w:val="auto"/>
                <w:kern w:val="0"/>
                <w:sz w:val="18"/>
                <w:szCs w:val="18"/>
                <w:highlight w:val="none"/>
                <w:u w:val="none"/>
                <w:lang w:bidi="ar"/>
              </w:rPr>
            </w:pPr>
            <w:r>
              <w:rPr>
                <w:rFonts w:hint="eastAsia" w:ascii="仿宋_GB2312" w:hAnsi="仿宋_GB2312" w:eastAsia="仿宋_GB2312" w:cs="仿宋_GB2312"/>
                <w:i w:val="0"/>
                <w:color w:val="auto"/>
                <w:kern w:val="0"/>
                <w:sz w:val="18"/>
                <w:szCs w:val="18"/>
                <w:highlight w:val="none"/>
                <w:u w:val="none"/>
                <w:lang w:val="en-US" w:eastAsia="zh-CN" w:bidi="ar"/>
              </w:rPr>
              <w:t>审批机构决定；</w:t>
            </w:r>
          </w:p>
          <w:p w14:paraId="745AF19C">
            <w:pPr>
              <w:keepNext w:val="0"/>
              <w:keepLines w:val="0"/>
              <w:pageBreakBefore w:val="0"/>
              <w:widowControl/>
              <w:numPr>
                <w:ilvl w:val="0"/>
                <w:numId w:val="4"/>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特殊环节（部分情况下开展）：委托技术性服务、专家评审、听证等所需时间不计入审批时限。</w:t>
            </w:r>
          </w:p>
        </w:tc>
        <w:tc>
          <w:tcPr>
            <w:tcW w:w="907" w:type="dxa"/>
            <w:tcBorders>
              <w:top w:val="single" w:color="auto" w:sz="4" w:space="0"/>
              <w:left w:val="single" w:color="000000" w:sz="4" w:space="0"/>
              <w:bottom w:val="single" w:color="000000" w:sz="4" w:space="0"/>
              <w:right w:val="single" w:color="000000" w:sz="4" w:space="0"/>
            </w:tcBorders>
            <w:noWrap w:val="0"/>
            <w:vAlign w:val="center"/>
          </w:tcPr>
          <w:p w14:paraId="2436EE0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4CEEC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0" w:hRule="atLeast"/>
          <w:jc w:val="center"/>
        </w:trPr>
        <w:tc>
          <w:tcPr>
            <w:tcW w:w="396" w:type="dxa"/>
            <w:vMerge w:val="restart"/>
            <w:tcBorders>
              <w:top w:val="single" w:color="000000" w:sz="4" w:space="0"/>
              <w:left w:val="single" w:color="000000" w:sz="4" w:space="0"/>
              <w:bottom w:val="single" w:color="000000" w:sz="4" w:space="0"/>
              <w:right w:val="single" w:color="000000" w:sz="4" w:space="0"/>
            </w:tcBorders>
            <w:noWrap w:val="0"/>
            <w:vAlign w:val="center"/>
          </w:tcPr>
          <w:p w14:paraId="2F4CAF9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w:t>
            </w:r>
          </w:p>
        </w:tc>
        <w:tc>
          <w:tcPr>
            <w:tcW w:w="758" w:type="dxa"/>
            <w:vMerge w:val="restart"/>
            <w:tcBorders>
              <w:top w:val="single" w:color="000000" w:sz="4" w:space="0"/>
              <w:left w:val="single" w:color="000000" w:sz="4" w:space="0"/>
              <w:bottom w:val="single" w:color="000000" w:sz="4" w:space="0"/>
              <w:right w:val="single" w:color="000000" w:sz="4" w:space="0"/>
            </w:tcBorders>
            <w:noWrap w:val="0"/>
            <w:vAlign w:val="center"/>
          </w:tcPr>
          <w:p w14:paraId="5A0D3A0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危险废物经营许可</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191AC63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危险废物经营许可证核发</w:t>
            </w:r>
          </w:p>
        </w:tc>
        <w:tc>
          <w:tcPr>
            <w:tcW w:w="630" w:type="dxa"/>
            <w:vMerge w:val="restart"/>
            <w:tcBorders>
              <w:top w:val="single" w:color="000000" w:sz="4" w:space="0"/>
              <w:left w:val="single" w:color="000000" w:sz="4" w:space="0"/>
              <w:bottom w:val="single" w:color="000000" w:sz="4" w:space="0"/>
              <w:right w:val="single" w:color="000000" w:sz="4" w:space="0"/>
            </w:tcBorders>
            <w:noWrap w:val="0"/>
            <w:vAlign w:val="center"/>
          </w:tcPr>
          <w:p w14:paraId="270EEB0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省级</w:t>
            </w:r>
          </w:p>
          <w:p w14:paraId="14938E7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vMerge w:val="restart"/>
            <w:tcBorders>
              <w:top w:val="single" w:color="000000" w:sz="4" w:space="0"/>
              <w:left w:val="single" w:color="000000" w:sz="4" w:space="0"/>
              <w:bottom w:val="single" w:color="000000" w:sz="4" w:space="0"/>
              <w:right w:val="single" w:color="000000" w:sz="4" w:space="0"/>
            </w:tcBorders>
            <w:noWrap w:val="0"/>
            <w:vAlign w:val="center"/>
          </w:tcPr>
          <w:p w14:paraId="46642FF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554F06F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06E524D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4C70BA8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1.《河北省危险废物经营许可证申请表》“申请单位名称”处加盖单位公章；法定代表人手写签字并按手印或手章；</w:t>
            </w:r>
          </w:p>
          <w:p w14:paraId="54A9571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2.省厅制式表格内容均应在表格内部填写，不得整体套用原文件；</w:t>
            </w:r>
          </w:p>
          <w:p w14:paraId="2F06F57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3.所有电子版材料文件名称应按照河北省固体废物动态信息平台附件序号进行编号，编号如（1.1专业技术人员学历学位职称证明；1.2技术人员工作经历证明；2.1……；3.1,3.1.1）；</w:t>
            </w:r>
          </w:p>
          <w:p w14:paraId="6F47EF7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4.有关环评文件、验收文件、设计文件、监理文件等均上传完整的、加盖编写单位公章，有编制日期的原件扫描件，并保证内容清晰；</w:t>
            </w:r>
          </w:p>
          <w:p w14:paraId="010E5B6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5.要按照有关证明材料要求逐项对应上传、不要缺项、漏项；不涉及的要写明情况；</w:t>
            </w:r>
          </w:p>
          <w:p w14:paraId="1BEA706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6.所有证件、执照不可超期。</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6769973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资格型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3672C90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危险废物经营许可证</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5DE3E59A">
            <w:pPr>
              <w:keepNext w:val="0"/>
              <w:keepLines w:val="0"/>
              <w:pageBreakBefore w:val="0"/>
              <w:widowControl/>
              <w:suppressLineNumbers w:val="0"/>
              <w:shd w:val="clear" w:color="auto"/>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1.河北省危险废物经营许可证申请表；</w:t>
            </w:r>
          </w:p>
          <w:p w14:paraId="6DF437FA">
            <w:pPr>
              <w:keepNext w:val="0"/>
              <w:keepLines w:val="0"/>
              <w:pageBreakBefore w:val="0"/>
              <w:widowControl/>
              <w:suppressLineNumbers w:val="0"/>
              <w:shd w:val="clear" w:color="auto"/>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2.有3名以上环境工程专业或者相关专业中级上以职称，并有3年以上固体废物污染治理经历的技术人员，需提供的证明材料；</w:t>
            </w:r>
          </w:p>
          <w:p w14:paraId="3A5A277E">
            <w:pPr>
              <w:keepNext w:val="0"/>
              <w:keepLines w:val="0"/>
              <w:pageBreakBefore w:val="0"/>
              <w:widowControl/>
              <w:suppressLineNumbers w:val="0"/>
              <w:shd w:val="clear" w:color="auto"/>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3.有符合国务院交通主管部门有关危险货物运输安全要求的运输工具，需提供的证明材料（提供运输过程遵守危险货物运输管理规定或有关豁免管理规定的承诺书）</w:t>
            </w:r>
          </w:p>
          <w:p w14:paraId="7B81F9E6">
            <w:pPr>
              <w:keepNext w:val="0"/>
              <w:keepLines w:val="0"/>
              <w:pageBreakBefore w:val="0"/>
              <w:widowControl/>
              <w:suppressLineNumbers w:val="0"/>
              <w:shd w:val="clear" w:color="auto"/>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4.有符合国家或者地方环境保护标准和安全要求的包装工具，中转和临时存放设施、设备以及经验收合格的贮存设施、设备，需提供的证明材料。</w:t>
            </w:r>
          </w:p>
          <w:p w14:paraId="79E4E8FC">
            <w:pPr>
              <w:keepNext w:val="0"/>
              <w:keepLines w:val="0"/>
              <w:pageBreakBefore w:val="0"/>
              <w:widowControl/>
              <w:suppressLineNumbers w:val="0"/>
              <w:shd w:val="clear" w:color="auto"/>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5.有符合国家或者省、自治区、直辖市危险废物处置设施建设规划，符合国家或者地方环境保护标准和安全要求的处置设施、设备和配套的污染防治设施，需提供的证明材料。</w:t>
            </w:r>
          </w:p>
          <w:p w14:paraId="2B225A2B">
            <w:pPr>
              <w:keepNext w:val="0"/>
              <w:keepLines w:val="0"/>
              <w:pageBreakBefore w:val="0"/>
              <w:widowControl/>
              <w:suppressLineNumbers w:val="0"/>
              <w:shd w:val="clear" w:color="auto"/>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6.有与所经营的危险废物类别相适应的处置技术和工艺，需提供的证明材料。</w:t>
            </w:r>
          </w:p>
          <w:p w14:paraId="5C09C728">
            <w:pPr>
              <w:keepNext w:val="0"/>
              <w:keepLines w:val="0"/>
              <w:pageBreakBefore w:val="0"/>
              <w:widowControl/>
              <w:suppressLineNumbers w:val="0"/>
              <w:shd w:val="clear" w:color="auto"/>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7.有保证危险废物经营安全的规章制度、污染防治措施和事故应急救援措施，需提供的证明材料。</w:t>
            </w:r>
          </w:p>
          <w:p w14:paraId="0EFA9D6A">
            <w:pPr>
              <w:keepNext w:val="0"/>
              <w:keepLines w:val="0"/>
              <w:pageBreakBefore w:val="0"/>
              <w:widowControl/>
              <w:suppressLineNumbers w:val="0"/>
              <w:shd w:val="clear" w:color="auto"/>
              <w:kinsoku/>
              <w:wordWrap/>
              <w:overflowPunct/>
              <w:topLinePunct w:val="0"/>
              <w:autoSpaceDE/>
              <w:autoSpaceDN/>
              <w:bidi w:val="0"/>
              <w:adjustRightInd/>
              <w:snapToGrid/>
              <w:spacing w:line="240" w:lineRule="auto"/>
              <w:ind w:left="0" w:right="0"/>
              <w:jc w:val="left"/>
              <w:textAlignment w:val="auto"/>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8.以填埋方式处置危险废物的，需提交关于依法取得填埋场所的土地使用权，需提供的证明材料。</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46129D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59F3A00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1641DFF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2655957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4.审批机构决定核发/不予核发；</w:t>
            </w:r>
          </w:p>
          <w:p w14:paraId="37254AB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5.制作颁发许可证；</w:t>
            </w:r>
          </w:p>
          <w:p w14:paraId="1B2CB25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6.特殊环节：现场勘验、专家评审等所需时间不计入审批时限。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3028B9A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1AD4E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5" w:hRule="atLeast"/>
          <w:jc w:val="center"/>
        </w:trPr>
        <w:tc>
          <w:tcPr>
            <w:tcW w:w="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CCDBE2">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8FAE08">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6D24864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危险废物经营许可证延续</w:t>
            </w: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E1CFF2">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13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8D5189">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49139A5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67673F1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675A722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1.《河北省危险废物经营许可证申请表》“申请单位名称”处加盖单位公章；法定代表人手写签字并按手印或手章；</w:t>
            </w:r>
          </w:p>
          <w:p w14:paraId="6ECFE3D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2.省厅制式表格内容均应在表格内部填写，不得整体套用原文件；</w:t>
            </w:r>
          </w:p>
          <w:p w14:paraId="1FD7178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3.所有电子版材料文件名称应按照河北省固体废物动态信息平台附件序号进行编号，编号如（1.1专业技术人员学历学位职称证明；1.2技术人员工作经历证明；2.1……；3.1,3.1.1）；</w:t>
            </w:r>
          </w:p>
          <w:p w14:paraId="122CD48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4.有关环评文件、验收文件、设计文件、监理文件等均上传完整的、加盖编写单位公章，有编制日期的原件扫描件，并保证内容清晰；</w:t>
            </w:r>
          </w:p>
          <w:p w14:paraId="5CEF11E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5.要按照有关证明材料要求逐项对应上传、不要缺项、漏项；不涉及的要写明情况；</w:t>
            </w:r>
          </w:p>
          <w:p w14:paraId="08424CD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6.所有证件、执照不可超期。</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68F9980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资格型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5677788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危险废物经营许可证</w:t>
            </w:r>
          </w:p>
        </w:tc>
        <w:tc>
          <w:tcPr>
            <w:tcW w:w="3020" w:type="dxa"/>
            <w:tcBorders>
              <w:top w:val="single" w:color="000000" w:sz="4" w:space="0"/>
              <w:left w:val="single" w:color="000000" w:sz="4" w:space="0"/>
              <w:bottom w:val="single" w:color="auto" w:sz="4" w:space="0"/>
              <w:right w:val="single" w:color="000000" w:sz="4" w:space="0"/>
            </w:tcBorders>
            <w:noWrap w:val="0"/>
            <w:vAlign w:val="center"/>
          </w:tcPr>
          <w:p w14:paraId="282B3C7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1.河北省危险废物经营许可证申请表；</w:t>
            </w:r>
          </w:p>
          <w:p w14:paraId="06A6DB2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2.生产经营总结报告；</w:t>
            </w:r>
          </w:p>
          <w:p w14:paraId="2E0407D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3.环保验收</w:t>
            </w:r>
            <w:r>
              <w:rPr>
                <w:rFonts w:hint="eastAsia" w:ascii="仿宋_GB2312" w:hAnsi="仿宋_GB2312" w:eastAsia="仿宋_GB2312" w:cs="仿宋_GB2312"/>
                <w:b w:val="0"/>
                <w:bCs w:val="0"/>
                <w:i w:val="0"/>
                <w:color w:val="auto"/>
                <w:kern w:val="0"/>
                <w:sz w:val="18"/>
                <w:szCs w:val="18"/>
                <w:highlight w:val="none"/>
                <w:u w:val="none"/>
                <w:shd w:val="clear"/>
                <w:lang w:val="en-US" w:eastAsia="zh-CN" w:bidi="ar"/>
              </w:rPr>
              <w:t>监</w:t>
            </w:r>
            <w:r>
              <w:rPr>
                <w:rFonts w:hint="eastAsia" w:ascii="仿宋_GB2312" w:hAnsi="仿宋_GB2312" w:eastAsia="仿宋_GB2312" w:cs="仿宋_GB2312"/>
                <w:i w:val="0"/>
                <w:color w:val="auto"/>
                <w:kern w:val="0"/>
                <w:sz w:val="18"/>
                <w:szCs w:val="18"/>
                <w:highlight w:val="none"/>
                <w:u w:val="none"/>
                <w:lang w:val="en-US" w:eastAsia="zh-CN" w:bidi="ar"/>
              </w:rPr>
              <w:t>测报告；</w:t>
            </w:r>
          </w:p>
          <w:p w14:paraId="68674C9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4.环保验收报告及验收意见；</w:t>
            </w:r>
          </w:p>
          <w:p w14:paraId="3EE4D91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5.安全验收报告；</w:t>
            </w:r>
          </w:p>
          <w:p w14:paraId="34884E9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6.企业结合自身特点自提供的其他符合环保要求的证明材料；</w:t>
            </w:r>
          </w:p>
          <w:p w14:paraId="66B87DB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7.项目符合现行标准规范的证明材料；</w:t>
            </w:r>
          </w:p>
          <w:p w14:paraId="006AF9E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8.项目具备危险废物经营许可证申领条件的说明及证明材料。</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DDD44D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67027F1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3493E22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6F4F199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4.审批机构决定核发/不予核发；</w:t>
            </w:r>
          </w:p>
          <w:p w14:paraId="6633B9C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5.制作颁发许可证；</w:t>
            </w:r>
          </w:p>
          <w:p w14:paraId="3FBA649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6.特殊环节：现场勘验、专家评审等所需时间不计入审批时限。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065FA0B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79827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0" w:hRule="atLeast"/>
          <w:jc w:val="center"/>
        </w:trPr>
        <w:tc>
          <w:tcPr>
            <w:tcW w:w="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75795A">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1553EE">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5E43655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危险废物经营许可证变更</w:t>
            </w: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FAB992">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13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CEEB8D">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2EE2C8C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21C8CAD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6329C6">
            <w:pPr>
              <w:keepNext w:val="0"/>
              <w:keepLines w:val="0"/>
              <w:pageBreakBefore w:val="0"/>
              <w:widowControl/>
              <w:numPr>
                <w:ilvl w:val="-1"/>
                <w:numId w:val="0"/>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1.《危险废物经营许可证变更申请书》“申请单位名称”处加盖单位公章；</w:t>
            </w:r>
          </w:p>
          <w:p w14:paraId="7BFF820B">
            <w:pPr>
              <w:keepNext w:val="0"/>
              <w:keepLines w:val="0"/>
              <w:pageBreakBefore w:val="0"/>
              <w:widowControl/>
              <w:numPr>
                <w:ilvl w:val="-1"/>
                <w:numId w:val="0"/>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2.危险废物许可证应在有效期内；</w:t>
            </w:r>
          </w:p>
          <w:p w14:paraId="467D86D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3.应取得工商部门出具的营业执照。</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4B5965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资格型</w:t>
            </w:r>
          </w:p>
        </w:tc>
        <w:tc>
          <w:tcPr>
            <w:tcW w:w="1391"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7D5C32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危险废物经营许可证</w:t>
            </w:r>
          </w:p>
        </w:tc>
        <w:tc>
          <w:tcPr>
            <w:tcW w:w="30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CDCDEA">
            <w:pPr>
              <w:keepNext w:val="0"/>
              <w:keepLines w:val="0"/>
              <w:pageBreakBefore w:val="0"/>
              <w:widowControl/>
              <w:numPr>
                <w:ilvl w:val="0"/>
                <w:numId w:val="5"/>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危险废物经营许可证变更申请书；</w:t>
            </w:r>
          </w:p>
          <w:p w14:paraId="64AE2006">
            <w:pPr>
              <w:keepNext w:val="0"/>
              <w:keepLines w:val="0"/>
              <w:pageBreakBefore w:val="0"/>
              <w:widowControl/>
              <w:numPr>
                <w:ilvl w:val="0"/>
                <w:numId w:val="5"/>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原</w:t>
            </w:r>
            <w:r>
              <w:rPr>
                <w:rFonts w:hint="eastAsia" w:ascii="仿宋_GB2312" w:hAnsi="仿宋_GB2312" w:eastAsia="仿宋_GB2312" w:cs="仿宋_GB2312"/>
                <w:i w:val="0"/>
                <w:iCs w:val="0"/>
                <w:caps w:val="0"/>
                <w:color w:val="auto"/>
                <w:spacing w:val="0"/>
                <w:kern w:val="0"/>
                <w:sz w:val="18"/>
                <w:szCs w:val="18"/>
                <w:highlight w:val="none"/>
                <w:u w:val="none"/>
                <w:lang w:val="en-US" w:eastAsia="zh-CN" w:bidi="ar"/>
              </w:rPr>
              <w:t>危险废物经营许可证正本、副本；</w:t>
            </w:r>
          </w:p>
          <w:p w14:paraId="62F6D74D">
            <w:pPr>
              <w:keepNext w:val="0"/>
              <w:keepLines w:val="0"/>
              <w:pageBreakBefore w:val="0"/>
              <w:widowControl/>
              <w:numPr>
                <w:ilvl w:val="0"/>
                <w:numId w:val="5"/>
              </w:numPr>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bidi="ar"/>
              </w:rPr>
            </w:pPr>
            <w:r>
              <w:rPr>
                <w:rFonts w:hint="eastAsia" w:ascii="仿宋_GB2312" w:hAnsi="仿宋_GB2312" w:eastAsia="仿宋_GB2312" w:cs="仿宋_GB2312"/>
                <w:i w:val="0"/>
                <w:color w:val="auto"/>
                <w:kern w:val="0"/>
                <w:sz w:val="18"/>
                <w:szCs w:val="18"/>
                <w:highlight w:val="none"/>
                <w:u w:val="none"/>
                <w:lang w:val="en-US" w:eastAsia="zh-CN" w:bidi="ar"/>
              </w:rPr>
              <w:t>企业变更后的工商营业执照</w:t>
            </w:r>
            <w:r>
              <w:rPr>
                <w:rFonts w:hint="eastAsia" w:ascii="仿宋_GB2312" w:hAnsi="仿宋_GB2312" w:eastAsia="仿宋_GB2312" w:cs="仿宋_GB2312"/>
                <w:i w:val="0"/>
                <w:strike w:val="0"/>
                <w:color w:val="auto"/>
                <w:kern w:val="0"/>
                <w:sz w:val="18"/>
                <w:szCs w:val="18"/>
                <w:highlight w:val="none"/>
                <w:u w:val="none"/>
                <w:lang w:val="en-US" w:eastAsia="zh-CN" w:bidi="ar"/>
              </w:rPr>
              <w:t>，及工商部门变更登记表。</w:t>
            </w:r>
          </w:p>
        </w:tc>
        <w:tc>
          <w:tcPr>
            <w:tcW w:w="2754" w:type="dxa"/>
            <w:tcBorders>
              <w:top w:val="single" w:color="000000" w:sz="4" w:space="0"/>
              <w:left w:val="single" w:color="auto" w:sz="4" w:space="0"/>
              <w:bottom w:val="single" w:color="000000" w:sz="4" w:space="0"/>
              <w:right w:val="single" w:color="000000" w:sz="4" w:space="0"/>
            </w:tcBorders>
            <w:noWrap w:val="0"/>
            <w:vAlign w:val="center"/>
          </w:tcPr>
          <w:p w14:paraId="0884B90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5534F2A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7A0AFBF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777504B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4.审批机构决定核发/不予核发；</w:t>
            </w:r>
          </w:p>
          <w:p w14:paraId="30C8FDB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5.制作颁发许可证。</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25FD008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0F3A0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5" w:hRule="atLeast"/>
          <w:jc w:val="center"/>
        </w:trPr>
        <w:tc>
          <w:tcPr>
            <w:tcW w:w="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38AB15">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5DF0E0">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609B4F4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危险废物经营许可证注销</w:t>
            </w: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56C5EF">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133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43E2C0">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402AE1D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67E1E66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8D9CD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1.《危险废物经营许可证注销申请书》“申请单位名称”处加盖单位公章；法定代表人手写签字并按手印或手章；</w:t>
            </w:r>
          </w:p>
          <w:p w14:paraId="42D9E20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w:t>
            </w:r>
            <w:r>
              <w:rPr>
                <w:rFonts w:hint="eastAsia" w:ascii="仿宋_GB2312" w:hAnsi="仿宋_GB2312" w:eastAsia="仿宋_GB2312" w:cs="仿宋_GB2312"/>
                <w:color w:val="auto"/>
                <w:kern w:val="0"/>
                <w:sz w:val="18"/>
                <w:szCs w:val="18"/>
                <w:highlight w:val="none"/>
                <w:u w:val="none"/>
                <w:lang w:val="en-US" w:eastAsia="zh-CN" w:bidi="ar"/>
              </w:rPr>
              <w:t>已消除了各类固体废物环境风险。</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16E8341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资格型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20C529C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关于同意注销危险废物经营许可证的批复</w:t>
            </w:r>
          </w:p>
        </w:tc>
        <w:tc>
          <w:tcPr>
            <w:tcW w:w="3020" w:type="dxa"/>
            <w:tcBorders>
              <w:top w:val="single" w:color="auto" w:sz="4" w:space="0"/>
              <w:left w:val="single" w:color="000000" w:sz="4" w:space="0"/>
              <w:bottom w:val="single" w:color="000000" w:sz="4" w:space="0"/>
              <w:right w:val="single" w:color="000000" w:sz="4" w:space="0"/>
            </w:tcBorders>
            <w:noWrap w:val="0"/>
            <w:vAlign w:val="center"/>
          </w:tcPr>
          <w:p w14:paraId="4A52963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1.危险废物经营许可证注销申请书；</w:t>
            </w:r>
          </w:p>
          <w:p w14:paraId="4998EC5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2.对经营设施、场所采取污染防治措施的说明及证明材料；</w:t>
            </w:r>
          </w:p>
          <w:p w14:paraId="2B64DB2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3.对未处置的危险废物处理情况说明及证明材料。</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F7F179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535F97F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67B1C1F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4CE9663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4.审批机构决定核发/不予核发；</w:t>
            </w:r>
          </w:p>
          <w:p w14:paraId="73A50AC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5.制作颁发许可证；</w:t>
            </w:r>
          </w:p>
          <w:p w14:paraId="0280962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6.特殊环节：现场勘验、专家评审等所需时间不计入审批时限。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6CB595E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3925A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5" w:hRule="atLeast"/>
          <w:jc w:val="center"/>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43B4328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7</w:t>
            </w:r>
          </w:p>
        </w:tc>
        <w:tc>
          <w:tcPr>
            <w:tcW w:w="758" w:type="dxa"/>
            <w:tcBorders>
              <w:top w:val="single" w:color="000000" w:sz="4" w:space="0"/>
              <w:left w:val="single" w:color="000000" w:sz="4" w:space="0"/>
              <w:bottom w:val="single" w:color="000000" w:sz="4" w:space="0"/>
              <w:right w:val="single" w:color="000000" w:sz="4" w:space="0"/>
            </w:tcBorders>
            <w:noWrap w:val="0"/>
            <w:vAlign w:val="center"/>
          </w:tcPr>
          <w:p w14:paraId="5C88BD1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延长危险废物贮存期限审批</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6133C27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2"/>
                <w:sz w:val="18"/>
                <w:szCs w:val="18"/>
                <w:highlight w:val="none"/>
                <w:u w:val="none"/>
                <w:lang w:val="en-US" w:eastAsia="zh-CN" w:bidi="ar-SA"/>
              </w:rPr>
            </w:pPr>
            <w:r>
              <w:rPr>
                <w:rFonts w:hint="eastAsia" w:ascii="仿宋_GB2312" w:hAnsi="仿宋_GB2312" w:eastAsia="仿宋_GB2312" w:cs="仿宋_GB2312"/>
                <w:i w:val="0"/>
                <w:color w:val="auto"/>
                <w:kern w:val="0"/>
                <w:sz w:val="18"/>
                <w:szCs w:val="18"/>
                <w:highlight w:val="none"/>
                <w:u w:val="none"/>
                <w:lang w:val="en-US" w:eastAsia="zh-CN" w:bidi="ar"/>
              </w:rPr>
              <w:t>延长危险废物贮存期限审批</w:t>
            </w:r>
          </w:p>
        </w:tc>
        <w:tc>
          <w:tcPr>
            <w:tcW w:w="63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9D6C4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4C1ADB9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607294D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30F6150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32B4687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1.贮存危险废物类别、数量、来源；</w:t>
            </w:r>
          </w:p>
          <w:p w14:paraId="2853A5A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2.超期贮存原因描述清晰；</w:t>
            </w:r>
          </w:p>
          <w:p w14:paraId="697ADE0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3.污染防治、安全防护措施完善；</w:t>
            </w:r>
          </w:p>
          <w:p w14:paraId="10FEEC5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4.市级生态环境部门现场核查情况属实。</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4C2D310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5A47DDC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关于同意（不同意）延长危险废物贮存期限的批复</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3A1BD75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延长危险废物贮存期限的申请</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ABE511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3C7464A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127775B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3946474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4.审批机构批准/不予批准。</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A24979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6B50A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0" w:hRule="atLeast"/>
          <w:jc w:val="center"/>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4C85E2C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8</w:t>
            </w:r>
          </w:p>
        </w:tc>
        <w:tc>
          <w:tcPr>
            <w:tcW w:w="758" w:type="dxa"/>
            <w:tcBorders>
              <w:top w:val="single" w:color="000000" w:sz="4" w:space="0"/>
              <w:left w:val="single" w:color="000000" w:sz="4" w:space="0"/>
              <w:bottom w:val="single" w:color="000000" w:sz="4" w:space="0"/>
              <w:right w:val="single" w:color="000000" w:sz="4" w:space="0"/>
            </w:tcBorders>
            <w:noWrap w:val="0"/>
            <w:vAlign w:val="center"/>
          </w:tcPr>
          <w:p w14:paraId="1CD33DC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危险废物跨省级行政区域转移审批</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05C89C9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2"/>
                <w:sz w:val="18"/>
                <w:szCs w:val="18"/>
                <w:highlight w:val="none"/>
                <w:u w:val="none"/>
                <w:lang w:val="en-US" w:eastAsia="zh-CN" w:bidi="ar-SA"/>
              </w:rPr>
            </w:pPr>
            <w:r>
              <w:rPr>
                <w:rFonts w:hint="eastAsia" w:ascii="仿宋_GB2312" w:hAnsi="仿宋_GB2312" w:eastAsia="仿宋_GB2312" w:cs="仿宋_GB2312"/>
                <w:i w:val="0"/>
                <w:color w:val="auto"/>
                <w:kern w:val="0"/>
                <w:sz w:val="18"/>
                <w:szCs w:val="18"/>
                <w:highlight w:val="none"/>
                <w:u w:val="none"/>
                <w:lang w:val="en-US" w:eastAsia="zh-CN" w:bidi="ar"/>
              </w:rPr>
              <w:t>危险废物跨省级行政区域转移审批</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1DC01A5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516B385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3320AB7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41856DC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4C36417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审批系统中上传的材料均为原件扫描件，所有材料都要整页扫描再按系统中的顺序创建单独附件上传。</w:t>
            </w:r>
          </w:p>
          <w:p w14:paraId="4297114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1.申请表</w:t>
            </w:r>
          </w:p>
          <w:p w14:paraId="25AAC9D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（1）申请表由系统导出生成。</w:t>
            </w:r>
          </w:p>
          <w:p w14:paraId="0F44C4A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（2）申请表加盖移出单位和接收单位公章。</w:t>
            </w:r>
          </w:p>
          <w:p w14:paraId="1D46039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（3）申请表需移出单位法定代表人或单位负责人（指法定代表人书面委托负责公司全面事务的负责人，并提供佐证材料）签字。</w:t>
            </w:r>
          </w:p>
          <w:p w14:paraId="4B9629E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2.转移实施计划</w:t>
            </w:r>
          </w:p>
          <w:p w14:paraId="26110F0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（1）申请材料真实性法律承诺书要有移出单位法定代表人手写签字、手印与日期。</w:t>
            </w:r>
          </w:p>
          <w:p w14:paraId="491D8DD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（2）转移实施计划第二部分表2废物运输情况要有人员信息（姓名、资格类别、资格证号、身份证号、准驾车型）与车辆信息（车牌号、运输证号、经营许可证号、联网编号）。</w:t>
            </w:r>
          </w:p>
          <w:p w14:paraId="61B3196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（3）转移实施计划要按制式模板中的格式填写。</w:t>
            </w:r>
          </w:p>
          <w:p w14:paraId="2170E6C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3.处置合同</w:t>
            </w:r>
          </w:p>
          <w:p w14:paraId="2E2F2C8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合同上需体现废物名称、类别、代码、数量、处置方式、有效期、单价（特殊类型除外）、双方公章、骑缝章、签订日期和法定代表人或授权委托书中的被委托人手写签字。</w:t>
            </w:r>
          </w:p>
          <w:p w14:paraId="649F2C6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4.法人授权委托书</w:t>
            </w:r>
          </w:p>
          <w:p w14:paraId="0AD0698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（1）法人授权委托书要填写废物种类。</w:t>
            </w:r>
          </w:p>
          <w:p w14:paraId="4F14C62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（2）法人授权委托书要有法定代表人手写签字或签章，被委托人需要手写签字。</w:t>
            </w:r>
          </w:p>
          <w:p w14:paraId="25EB570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（3）法人授权委托书移出单位和接收单位双方都需填写。</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6A11590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7AA99EE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关于同意（不同意）危险废物跨省转移的告知函</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69B3195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1.危险废物跨省转移申请表；</w:t>
            </w:r>
          </w:p>
          <w:p w14:paraId="661C955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2.河北省固体（危险）废物跨省转移实施计划；</w:t>
            </w:r>
          </w:p>
          <w:p w14:paraId="2241F49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3.危险废物委托利用处置合同；</w:t>
            </w:r>
          </w:p>
          <w:p w14:paraId="6A8CD0A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4.危险废物移出单位营业执照（收集单位提供资质证书），危险废物移出单位法人授权委托书，危险废物移出单位被委托人身份证；</w:t>
            </w:r>
          </w:p>
          <w:p w14:paraId="692083E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5.危险废物接收单位营业执照，危险废物接收单位危险废物经营许可证，危险废物接收单位法人授权委托书，危险废物接收单位被委托人身份证。</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6FBD9ED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7342D67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6C726C3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5EE18C8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4.审批机构同意/不同意转移；</w:t>
            </w:r>
          </w:p>
          <w:p w14:paraId="1BA419C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5.特殊环节：寄送征询函，等待外省复函(不计入审批时限）。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2DD530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50E8E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8" w:hRule="atLeast"/>
          <w:jc w:val="center"/>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454F6F9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9</w:t>
            </w:r>
          </w:p>
        </w:tc>
        <w:tc>
          <w:tcPr>
            <w:tcW w:w="758" w:type="dxa"/>
            <w:tcBorders>
              <w:top w:val="single" w:color="000000" w:sz="4" w:space="0"/>
              <w:left w:val="single" w:color="000000" w:sz="4" w:space="0"/>
              <w:bottom w:val="single" w:color="000000" w:sz="4" w:space="0"/>
              <w:right w:val="single" w:color="000000" w:sz="4" w:space="0"/>
            </w:tcBorders>
            <w:noWrap w:val="0"/>
            <w:vAlign w:val="center"/>
          </w:tcPr>
          <w:p w14:paraId="2A472E0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必需经水路运输医疗废物审批</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187A76C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2"/>
                <w:sz w:val="18"/>
                <w:szCs w:val="18"/>
                <w:highlight w:val="none"/>
                <w:u w:val="none"/>
                <w:lang w:val="en-US" w:eastAsia="zh-CN" w:bidi="ar-SA"/>
              </w:rPr>
            </w:pPr>
            <w:r>
              <w:rPr>
                <w:rFonts w:hint="eastAsia" w:ascii="仿宋_GB2312" w:hAnsi="仿宋_GB2312" w:eastAsia="仿宋_GB2312" w:cs="仿宋_GB2312"/>
                <w:i w:val="0"/>
                <w:color w:val="auto"/>
                <w:kern w:val="0"/>
                <w:sz w:val="18"/>
                <w:szCs w:val="18"/>
                <w:highlight w:val="none"/>
                <w:u w:val="none"/>
                <w:lang w:val="en-US" w:eastAsia="zh-CN" w:bidi="ar"/>
              </w:rPr>
              <w:t>必需经水路运输医疗废物审批</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5990711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省级</w:t>
            </w:r>
          </w:p>
          <w:p w14:paraId="120801C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0FBA403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0589901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212B28F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3E1B038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1.有陆路通道的，禁止通过水路运输医疗废物；</w:t>
            </w:r>
          </w:p>
          <w:p w14:paraId="5765359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2.没有陆路通道必需经水路运输医疗废物的，须采取严格的环境保护措施后，方可通过水路运输；</w:t>
            </w:r>
          </w:p>
          <w:p w14:paraId="4947C81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3.禁止将医疗废物与旅客在同一运输工具上载运；</w:t>
            </w:r>
          </w:p>
          <w:p w14:paraId="568E56D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4.禁止在饮用水源保护区的水体上运输医疗废物。</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0950B74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25442B3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河北省经水路运输医疗废物审批意见</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25E0B6F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河北省经水路运输医疗废物审批表</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45D5255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2B7D35E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76A8506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13B8949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4.审批机构批准/不予批准。</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5438BF4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5B5B2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0" w:hRule="atLeast"/>
          <w:jc w:val="center"/>
        </w:trPr>
        <w:tc>
          <w:tcPr>
            <w:tcW w:w="396" w:type="dxa"/>
            <w:vMerge w:val="restart"/>
            <w:tcBorders>
              <w:top w:val="single" w:color="000000" w:sz="4" w:space="0"/>
              <w:left w:val="single" w:color="000000" w:sz="4" w:space="0"/>
              <w:bottom w:val="single" w:color="000000" w:sz="4" w:space="0"/>
              <w:right w:val="single" w:color="000000" w:sz="4" w:space="0"/>
            </w:tcBorders>
            <w:noWrap w:val="0"/>
            <w:vAlign w:val="center"/>
          </w:tcPr>
          <w:p w14:paraId="251319C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lang w:val="en-US"/>
              </w:rPr>
            </w:pPr>
            <w:r>
              <w:rPr>
                <w:rFonts w:hint="eastAsia" w:ascii="仿宋_GB2312" w:hAnsi="仿宋_GB2312" w:eastAsia="仿宋_GB2312" w:cs="仿宋_GB2312"/>
                <w:i w:val="0"/>
                <w:color w:val="auto"/>
                <w:kern w:val="0"/>
                <w:sz w:val="18"/>
                <w:szCs w:val="18"/>
                <w:highlight w:val="none"/>
                <w:u w:val="none"/>
                <w:lang w:val="en-US" w:eastAsia="zh-CN" w:bidi="ar"/>
              </w:rPr>
              <w:t>10</w:t>
            </w:r>
          </w:p>
        </w:tc>
        <w:tc>
          <w:tcPr>
            <w:tcW w:w="758" w:type="dxa"/>
            <w:vMerge w:val="restart"/>
            <w:tcBorders>
              <w:top w:val="single" w:color="000000" w:sz="4" w:space="0"/>
              <w:left w:val="single" w:color="000000" w:sz="4" w:space="0"/>
              <w:bottom w:val="single" w:color="000000" w:sz="4" w:space="0"/>
              <w:right w:val="single" w:color="000000" w:sz="4" w:space="0"/>
            </w:tcBorders>
            <w:noWrap w:val="0"/>
            <w:vAlign w:val="center"/>
          </w:tcPr>
          <w:p w14:paraId="7A43100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废弃电器电子产品处理企业资格审批</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74440DC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废弃电器电子产品处理资格证书颁发</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FE763C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7E9035C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2F3D9C2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45858CF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1960479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是否具备以下条件：</w:t>
            </w:r>
          </w:p>
          <w:p w14:paraId="34255A0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（1）依法成立；</w:t>
            </w:r>
          </w:p>
          <w:p w14:paraId="7191C92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（2）符合本地区废弃电器电子产品处理发展规划的要求，具备完善的废弃电器电子产品处理设施；</w:t>
            </w:r>
          </w:p>
          <w:p w14:paraId="0421391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（3）具有增值税一般纳税人企业法人资格；</w:t>
            </w:r>
          </w:p>
          <w:p w14:paraId="60A53BB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（4）具备与其申请处理能力相适应的废弃电器电子产品处理车间和场地、贮存场所、拆解处理设备及配套的数据信息管理系统、污染防治设施等；</w:t>
            </w:r>
          </w:p>
          <w:p w14:paraId="688609A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（5）具有与所处理的废弃电器电子产品相适应的分拣、包装设备以及运输车辆、搬运设备、压缩打包设备、专用容器及中央监控设备、计量设备、事故应急救援和处理设备等；</w:t>
            </w:r>
          </w:p>
          <w:p w14:paraId="32036F6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（6）具有健全的环境管理制度和措施，包括对不能完全处理的废弃电器电子产品的妥善利用或者处置方案，突发环境事件的防范措施和应急预案等；</w:t>
            </w:r>
          </w:p>
          <w:p w14:paraId="6B7807D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（7）具有相关安全、质量和环境保护的专业技术人员。</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5C0073F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资格型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440D59F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废弃电器电子产品处理资格证书</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50B7052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1.废弃电器电子产品处理资格申请书；</w:t>
            </w:r>
          </w:p>
          <w:p w14:paraId="0D744D5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2.《废弃电器电子产品处理资格申请书》（附四）证明材料。</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B10EB2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2263290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6682462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3.公示；</w:t>
            </w:r>
          </w:p>
          <w:p w14:paraId="2AEB1F3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4.审批机构材料审查；</w:t>
            </w:r>
          </w:p>
          <w:p w14:paraId="515AA1B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5.组织专家现场核查；</w:t>
            </w:r>
          </w:p>
          <w:p w14:paraId="28603D3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6.决定核发资格证书/不予核发资格证书。</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6B5354E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59812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5" w:hRule="atLeast"/>
          <w:jc w:val="center"/>
        </w:trPr>
        <w:tc>
          <w:tcPr>
            <w:tcW w:w="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5BFCD8">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E9E03B">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119445C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废弃电器电子产品处理资格证书重新申请颁发</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12C8708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367B512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60A9617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2AEB4C8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58A2C3E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是否具备以下条件：</w:t>
            </w:r>
          </w:p>
          <w:p w14:paraId="4BD4550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（1）依法成立；</w:t>
            </w:r>
          </w:p>
          <w:p w14:paraId="61E0DAC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（2）符合本地区废弃电器电子产品处理发展规划的要求，具备完善的废弃电器电子产品处理设施；</w:t>
            </w:r>
          </w:p>
          <w:p w14:paraId="51D0836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（3）具有增值税一般纳税人企业法人资格；</w:t>
            </w:r>
          </w:p>
          <w:p w14:paraId="7E06EE9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（4）具备与其申请处理能力相适应的废弃电器电子产品处理车间和场地、贮存场所、拆解处理设备及配套的数据信息管理系统、污染防治设施等；</w:t>
            </w:r>
          </w:p>
          <w:p w14:paraId="7E2D612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（5）具有与所处理的废弃电器电子产品相适应的分拣、包装设备以及运输车辆、搬运设备、压缩打包设备、专用容器及中央监控设备、计量设备、事故应急救援和处理设备等；</w:t>
            </w:r>
          </w:p>
          <w:p w14:paraId="41480D6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（6）具有健全的环境管理制度和措施，包括对不能完全处理的废弃电器电子产品的妥善利用或者处置方案，突发环境事件的防范措施和应急预案等；</w:t>
            </w:r>
          </w:p>
          <w:p w14:paraId="279AF9E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（7）具有相关安全、质量和环境保护的专业技术人员。</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0C10F64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资格型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73D6DEE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废弃电器电子产品处理资格证书</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2AC09AE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1.废弃电器电子产品处理资格申请书；</w:t>
            </w:r>
          </w:p>
          <w:p w14:paraId="646C8EF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2.《废弃电器电子产品处理资格申请书》（附四）证明材料。</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7C68C43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7798646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27C76C9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3.公示；</w:t>
            </w:r>
          </w:p>
          <w:p w14:paraId="75FDA98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4.审批机构材料审查；</w:t>
            </w:r>
          </w:p>
          <w:p w14:paraId="48261AF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5.组织专家现场核查；</w:t>
            </w:r>
          </w:p>
          <w:p w14:paraId="0D45241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6.决定核发资格证书/不予核发资格证书。</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262C74B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352F3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0" w:hRule="atLeast"/>
          <w:jc w:val="center"/>
        </w:trPr>
        <w:tc>
          <w:tcPr>
            <w:tcW w:w="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077FC4">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A17CD6">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6C2D7E3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废弃电器电子产品处理资格证书换发</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17A7142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76DD686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31D52DB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BF7534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65DCA53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是否具备以下条件：</w:t>
            </w:r>
          </w:p>
          <w:p w14:paraId="6BEB818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（1）依法成立；</w:t>
            </w:r>
          </w:p>
          <w:p w14:paraId="01B4DBF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（2）符合本地区废弃电器电子产品处理发展规划的要求，具备完善的废弃电器电子产品处理设施；</w:t>
            </w:r>
          </w:p>
          <w:p w14:paraId="29F88A9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（3）具有增值税一般纳税人企业法人资格；</w:t>
            </w:r>
          </w:p>
          <w:p w14:paraId="31429FE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（4）具备与其申请处理能力相适应的废弃电器电子产品处理车间和场地、贮存场所、拆解处理设备及配套的数据信息管理系统、污染防治设施等；</w:t>
            </w:r>
          </w:p>
          <w:p w14:paraId="3531B10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（5）具有与所处理的废弃电器电子产品相适应的分拣、包装设备以及运输车辆、搬运设备、压缩打包设备、专用容器及中央监控设备、计量设备、事故应急救援和处理设备等；</w:t>
            </w:r>
          </w:p>
          <w:p w14:paraId="1E4D6CC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（6）具有健全的环境管理制度和措施，包括对不能完全处理的废弃电器电子产品的妥善利用或者处置方案，突发环境事件的防范措施和应急预案等；</w:t>
            </w:r>
          </w:p>
          <w:p w14:paraId="316C3FC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（7）具有相关安全、质量和环境保护的专业技术人员。</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6F6F100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资格型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03322E0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废弃电器电子产品处理资格证书</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6950821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1.废弃电器电子产品处理资格申请书；</w:t>
            </w:r>
          </w:p>
          <w:p w14:paraId="4404A06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2.《废弃电器电子产品处理资格申请书》（附四）证明材料。</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6CA6B4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0BA2DCC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5BE9C16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3.公示；</w:t>
            </w:r>
          </w:p>
          <w:p w14:paraId="7D04B09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4.审批机构材料审查；</w:t>
            </w:r>
          </w:p>
          <w:p w14:paraId="61AFAD1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5.组织专家现场核查；</w:t>
            </w:r>
          </w:p>
          <w:p w14:paraId="13D7452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6.决定核发资格证书/不予核发资格证书。</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51B9F9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5A531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9" w:hRule="atLeast"/>
          <w:jc w:val="center"/>
        </w:trPr>
        <w:tc>
          <w:tcPr>
            <w:tcW w:w="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076C6E">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81900C">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43D8F44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废弃电器电子产品处理资格证书变更</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40DA91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1634C5B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3A423E0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15</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24D98E4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0BBAF32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1.前期是否已取得资格证书；</w:t>
            </w:r>
          </w:p>
          <w:p w14:paraId="7981B7A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2.是否属于工商变更的情形。</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45FA9D8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资格型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0FA540C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废弃电器电子产品处理资格证书</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7B78E6C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1.行政许可申请书；</w:t>
            </w:r>
          </w:p>
          <w:p w14:paraId="7F0025C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strike w:val="0"/>
                <w:color w:val="auto"/>
                <w:kern w:val="0"/>
                <w:sz w:val="18"/>
                <w:szCs w:val="18"/>
                <w:highlight w:val="none"/>
                <w:u w:val="none"/>
                <w:lang w:val="en-US" w:eastAsia="zh-CN" w:bidi="ar"/>
              </w:rPr>
              <w:t>2.</w:t>
            </w:r>
            <w:r>
              <w:rPr>
                <w:rFonts w:hint="eastAsia" w:ascii="仿宋_GB2312" w:hAnsi="仿宋_GB2312" w:eastAsia="仿宋_GB2312" w:cs="仿宋_GB2312"/>
                <w:i w:val="0"/>
                <w:color w:val="auto"/>
                <w:kern w:val="0"/>
                <w:sz w:val="18"/>
                <w:szCs w:val="18"/>
                <w:highlight w:val="none"/>
                <w:u w:val="none"/>
                <w:lang w:val="en-US" w:eastAsia="zh-CN" w:bidi="ar"/>
              </w:rPr>
              <w:t>原废弃电器电子产品处理资格证书。</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ECD460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17F96F6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494A521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3.公示；</w:t>
            </w:r>
          </w:p>
          <w:p w14:paraId="390EEC2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4.审批机构材料审查；</w:t>
            </w:r>
          </w:p>
          <w:p w14:paraId="7F7F0D7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strike/>
                <w:color w:val="auto"/>
                <w:kern w:val="0"/>
                <w:sz w:val="18"/>
                <w:szCs w:val="18"/>
                <w:highlight w:val="none"/>
                <w:u w:val="none"/>
                <w:lang w:val="en-US" w:eastAsia="zh-CN" w:bidi="ar"/>
              </w:rPr>
              <w:t>5.</w:t>
            </w:r>
            <w:r>
              <w:rPr>
                <w:rFonts w:hint="eastAsia" w:ascii="仿宋_GB2312" w:hAnsi="仿宋_GB2312" w:eastAsia="仿宋_GB2312" w:cs="仿宋_GB2312"/>
                <w:i w:val="0"/>
                <w:color w:val="auto"/>
                <w:kern w:val="0"/>
                <w:sz w:val="18"/>
                <w:szCs w:val="18"/>
                <w:highlight w:val="none"/>
                <w:u w:val="none"/>
                <w:lang w:val="en-US" w:eastAsia="zh-CN" w:bidi="ar"/>
              </w:rPr>
              <w:t>决定核发资格证书/不予核发资格证书。</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751C856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259D1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jc w:val="center"/>
        </w:trPr>
        <w:tc>
          <w:tcPr>
            <w:tcW w:w="39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AF4260">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FDADDA">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6A15F02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废弃电器电子产品处理资格证书注销</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1DF84D7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5DD912C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7D91029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7581A4C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2BD73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1.排污单位是否对经营设施、场所采取污染防治措施，对未处置的废弃电器电子产品作出妥善处理；</w:t>
            </w:r>
          </w:p>
          <w:p w14:paraId="4FDB52D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2.排污单位是否已对其经营设施、场所进行环境调查与风险评估；经评估需要治理修复的，是否已依法承担治理修复责任；</w:t>
            </w:r>
          </w:p>
          <w:p w14:paraId="466A58E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3.是否提交原资格证书。</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9ACED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资格型</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C1A88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行政许可决定书</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4B669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1.行政许可申请书；</w:t>
            </w:r>
          </w:p>
          <w:p w14:paraId="347050F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2.环境调查与风险评估报告；</w:t>
            </w:r>
          </w:p>
          <w:p w14:paraId="69BD14F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3.原废弃电器电子产品处理资格证书。</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3FE907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0D79AFB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409F5DB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3.公示；</w:t>
            </w:r>
          </w:p>
          <w:p w14:paraId="4C0F94F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4.审批机构材料审查；</w:t>
            </w:r>
          </w:p>
          <w:p w14:paraId="5ABA99F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5.组织专家现场核查；</w:t>
            </w:r>
          </w:p>
          <w:p w14:paraId="6999BF2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6.决定注销/不注销资格证书。</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072427B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65F24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9" w:hRule="atLeast"/>
          <w:jc w:val="center"/>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7F30AFC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11</w:t>
            </w:r>
          </w:p>
        </w:tc>
        <w:tc>
          <w:tcPr>
            <w:tcW w:w="758" w:type="dxa"/>
            <w:tcBorders>
              <w:top w:val="single" w:color="000000" w:sz="4" w:space="0"/>
              <w:left w:val="single" w:color="000000" w:sz="4" w:space="0"/>
              <w:bottom w:val="single" w:color="000000" w:sz="4" w:space="0"/>
              <w:right w:val="single" w:color="000000" w:sz="4" w:space="0"/>
            </w:tcBorders>
            <w:noWrap w:val="0"/>
            <w:vAlign w:val="center"/>
          </w:tcPr>
          <w:p w14:paraId="69978EB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一般固体废物跨省级行政区域贮存、处置审批</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70AFF159">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一般固体废物跨省级行政区域贮存、处置审批</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1E91955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31F6F04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3F62669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026E66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B0217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1.申请表内容完整，加盖申请单位公章；</w:t>
            </w:r>
          </w:p>
          <w:p w14:paraId="5D5F214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2.接受单位是否具备贮存、处置固体废物资质与能力，接收地省级生态环境部门是否出具同意意见；</w:t>
            </w:r>
          </w:p>
          <w:p w14:paraId="573CA7D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3.贮存、处置合同应当约定污染防治要求，</w:t>
            </w:r>
            <w:r>
              <w:rPr>
                <w:rFonts w:hint="eastAsia" w:ascii="仿宋_GB2312" w:hAnsi="仿宋_GB2312" w:eastAsia="仿宋_GB2312" w:cs="仿宋_GB2312"/>
                <w:i w:val="0"/>
                <w:color w:val="auto"/>
                <w:kern w:val="0"/>
                <w:sz w:val="18"/>
                <w:szCs w:val="18"/>
                <w:highlight w:val="none"/>
                <w:u w:val="none"/>
                <w:shd w:val="clear"/>
                <w:lang w:val="en-US" w:eastAsia="zh-CN" w:bidi="ar"/>
              </w:rPr>
              <w:t>主体、标的、责任、期限清晰完整可追溯</w:t>
            </w:r>
            <w:r>
              <w:rPr>
                <w:rFonts w:hint="eastAsia" w:ascii="仿宋_GB2312" w:hAnsi="仿宋_GB2312" w:eastAsia="仿宋_GB2312" w:cs="仿宋_GB2312"/>
                <w:i w:val="0"/>
                <w:color w:val="auto"/>
                <w:kern w:val="0"/>
                <w:sz w:val="18"/>
                <w:szCs w:val="18"/>
                <w:highlight w:val="none"/>
                <w:u w:val="none"/>
                <w:lang w:val="en-US" w:eastAsia="zh-CN" w:bidi="ar"/>
              </w:rPr>
              <w:t>。</w:t>
            </w:r>
          </w:p>
        </w:tc>
        <w:tc>
          <w:tcPr>
            <w:tcW w:w="84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0BBDF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665DA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关于一般固体废物跨省贮存、处置意见的函</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C0C32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1.一般固体废物跨省贮存、处置申请表；</w:t>
            </w:r>
          </w:p>
          <w:p w14:paraId="2A28C12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2.接受单位提供的贮存或者处置固体废物方式的说明；</w:t>
            </w:r>
          </w:p>
          <w:p w14:paraId="138C7F7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3.申请单位与接受单位、运输单位签订的书面合同。</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E52591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039FE59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172A4FD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6A1296F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4.审批机构同意/不同意；</w:t>
            </w:r>
          </w:p>
          <w:p w14:paraId="68E0A4E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5.特殊环节：寄送征询函，等待外省复函(不计入审批时限）。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7E554E4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1349D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7" w:hRule="atLeast"/>
          <w:jc w:val="center"/>
        </w:trPr>
        <w:tc>
          <w:tcPr>
            <w:tcW w:w="396" w:type="dxa"/>
            <w:vMerge w:val="restart"/>
            <w:tcBorders>
              <w:top w:val="single" w:color="000000" w:sz="4" w:space="0"/>
              <w:left w:val="single" w:color="000000" w:sz="4" w:space="0"/>
              <w:bottom w:val="single" w:color="auto" w:sz="4" w:space="0"/>
              <w:right w:val="single" w:color="000000" w:sz="4" w:space="0"/>
            </w:tcBorders>
            <w:noWrap w:val="0"/>
            <w:vAlign w:val="center"/>
          </w:tcPr>
          <w:p w14:paraId="230D19F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12</w:t>
            </w:r>
          </w:p>
        </w:tc>
        <w:tc>
          <w:tcPr>
            <w:tcW w:w="758" w:type="dxa"/>
            <w:vMerge w:val="restart"/>
            <w:tcBorders>
              <w:top w:val="single" w:color="000000" w:sz="4" w:space="0"/>
              <w:left w:val="single" w:color="000000" w:sz="4" w:space="0"/>
              <w:bottom w:val="single" w:color="auto" w:sz="4" w:space="0"/>
              <w:right w:val="single" w:color="000000" w:sz="4" w:space="0"/>
            </w:tcBorders>
            <w:noWrap w:val="0"/>
            <w:vAlign w:val="center"/>
          </w:tcPr>
          <w:p w14:paraId="71293BF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辐射安全许可</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4C31861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辐射安全许可证发放</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1C6082D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省级</w:t>
            </w:r>
          </w:p>
          <w:p w14:paraId="6C87821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681986D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6AB4446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215F3B6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343355A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1.是否依法取得建设项目环境影响报告书（表）批准文件，或者已经办理环境影响登记表备案手续；</w:t>
            </w:r>
          </w:p>
          <w:p w14:paraId="6D1DC81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2.生产放射性同位素的单位，是否具备下列条件：</w:t>
            </w:r>
          </w:p>
          <w:p w14:paraId="7B5F067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(1)设有专门的辐射安全与环境保护管理机构。</w:t>
            </w:r>
          </w:p>
          <w:p w14:paraId="0CEB553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(2)有不少于5名核物理、放射化学、核医学和辐射防护等相关专业的技术人员，其中具有高级职称的不少于1名。</w:t>
            </w:r>
          </w:p>
          <w:p w14:paraId="064669B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生产半衰期大于60天的放射性同位素的单位，前项所指的专业技术人员应当不少于30名，其中具有高级职称的不少于6名。</w:t>
            </w:r>
          </w:p>
          <w:p w14:paraId="312F0B8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(3)从事辐射工作的人员必须通过辐射安全和防护专业知识及相关法律法规的培训和考核，其中辐射安全关键岗位应当由注册核安全工程师担任。</w:t>
            </w:r>
          </w:p>
          <w:p w14:paraId="685111B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(4)有与设计生产规模相适应，满足辐射安全和防护、实体保卫要求的放射性同位素生产场所、生产设施、暂存库或暂存设备，并拥有生产场所和生产设施的所有权。</w:t>
            </w:r>
          </w:p>
          <w:p w14:paraId="401D97E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(5)具有符合国家相关规定要求的运输、贮存放射性同位素的包装容器。</w:t>
            </w:r>
          </w:p>
          <w:p w14:paraId="6340C2F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(6)具有符合国家放射性同位素运输要求的运输工具，并配备有5年以上驾龄的专职司机。</w:t>
            </w:r>
          </w:p>
          <w:p w14:paraId="3412AED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(7)配备与辐射类型和辐射水平相适应的防护用品和监测仪器，包括个人剂量测量报警、固定式和便携式辐射监测、表面污染监测、流出物监测等设备。</w:t>
            </w:r>
          </w:p>
          <w:p w14:paraId="0471423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(8)建立健全的操作规程、岗位职责、辐射防护制度、安全保卫制度、设备检修维护制度、人员培训制度、台账管理制度和监测方案。</w:t>
            </w:r>
          </w:p>
          <w:p w14:paraId="40AADAA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(9)建立事故应急响应机构，制定应急响应预案和应急人员的培训演习制度，有必要的应急装备和物资准备，有与设计生产规模相适应的事故应急处理能力。</w:t>
            </w:r>
          </w:p>
          <w:p w14:paraId="6E5E736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(10)具有确保放射性废气、废液、固体废物达标排放的处理能力或者可行的处理方案。</w:t>
            </w:r>
          </w:p>
          <w:p w14:paraId="191DB31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3.销售放射性同位素的单位，是否具备下列条件：</w:t>
            </w:r>
          </w:p>
          <w:p w14:paraId="71D1B36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(1)设有专门的辐射安全与环境保护管理机构，或者至少有1名具有本科以上学历的技术人员专职负责辐射安全与环境保护管理工作。</w:t>
            </w:r>
          </w:p>
          <w:p w14:paraId="3077A95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(2)从事辐射工作的人员必须通过辐射安全和防护专业知识及相关法律法规的培训和考核。</w:t>
            </w:r>
          </w:p>
          <w:p w14:paraId="76386BC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(3)需要暂存放射性同位素的，有满足辐射安全和防护、实体保卫要求的暂存库或设备。</w:t>
            </w:r>
          </w:p>
          <w:p w14:paraId="42D8823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(4)需要安装调试放射性同位素的，有满足防止误操作、防止工作人员和公众受到意外照射要求的安装调试场所。</w:t>
            </w:r>
          </w:p>
          <w:p w14:paraId="3A34364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(5)具有符合国家相关规定要求的贮存、运输放射性同位素的包装容器。</w:t>
            </w:r>
          </w:p>
          <w:p w14:paraId="3616FF5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(6)运输放射性同位素能使用符合国家放射性同位素运输要求的运输工具。</w:t>
            </w:r>
          </w:p>
          <w:p w14:paraId="47E0658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(7)配备与辐射类型和辐射水平相适应的防护用品和监测仪器，包括个人剂量测量报警、便携式辐射监测、表面污染监测等仪器。</w:t>
            </w:r>
          </w:p>
          <w:p w14:paraId="191464C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(8)有健全的操作规程、岗位职责、安全保卫制度、辐射防护措施、台账管理制度、人员培训计划和监测方案。</w:t>
            </w:r>
          </w:p>
          <w:p w14:paraId="5B50B73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(9)有完善的辐射事故应急措施。</w:t>
            </w:r>
          </w:p>
          <w:p w14:paraId="7279F14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4.生产、销售射线装置的单位，是否具备下列条件：</w:t>
            </w:r>
          </w:p>
          <w:p w14:paraId="6817919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(1)设有专门的辐射安全与环境保护管理机构，或者至少有1名具有本科以上学历的技术人员专职负责辐射安全与环境保护管理工作。</w:t>
            </w:r>
          </w:p>
          <w:p w14:paraId="47360C4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(2)从事辐射工作的人员必须通过辐射安全和防护专业知识及相关法律法规的培训和考核。</w:t>
            </w:r>
          </w:p>
          <w:p w14:paraId="22BE19E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(3)射线装置生产、调试场所满足防止误操作、防止工作人员和公众受到意外照射的安全要求。</w:t>
            </w:r>
          </w:p>
          <w:p w14:paraId="24383BF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(4)配备必要的防护用品和监测仪器。</w:t>
            </w:r>
          </w:p>
          <w:p w14:paraId="78BE66D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(5)有健全的操作规程、岗位职责、辐射防护措施、台账管理制度、培训计划和监测方案。</w:t>
            </w:r>
          </w:p>
          <w:p w14:paraId="4579B6F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(6)有辐射事故应急措施。</w:t>
            </w:r>
          </w:p>
          <w:p w14:paraId="796E8CA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5.使用放射性同位素、射线装置的单位，是否具备下列条件：</w:t>
            </w:r>
          </w:p>
          <w:p w14:paraId="0A9D702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使用Ⅰ类、Ⅱ类、Ⅲ类放射源，使用Ⅰ类、Ⅱ类射线装置的，应当设有专门的辐射安全与环境保护管理机构，或者至少有1名具有本科以上学历的技术人员专职负责辐射安全与环境保护管理工作；其他辐射工作单位应当有1名具有大专以上学历的技术人员专职或者兼职负责辐射安全与环境保护管理工作；依据辐射安全关键岗位名录，应当设立辐射安全关键岗位的，该岗位应当由注册核安全工程师担任。</w:t>
            </w:r>
          </w:p>
          <w:p w14:paraId="0C9D9C9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(2)从事辐射工作的人员必须通过辐射安全和防护专业知识及相关法律法规的培训和考核。</w:t>
            </w:r>
          </w:p>
          <w:p w14:paraId="513D7A7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(3)使用放射性同位素的单位应当有满足辐射防护和实体保卫要求的放射源暂存库或设备。</w:t>
            </w:r>
          </w:p>
          <w:p w14:paraId="6828C28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(4)放射性同位素与射线装置使用场所有防止误操作、防止工作人员和公众受到意外照射的安全措施。</w:t>
            </w:r>
          </w:p>
          <w:p w14:paraId="6FE4E23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(5)配备与辐射类型和辐射水平相适应的防护用品和监测仪器，包括个人剂量测量报警、辐射监测等仪器。使用非密封放射性物质的单位还应当有表面污染监测仪。</w:t>
            </w:r>
          </w:p>
          <w:p w14:paraId="5ADBAEF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(6)有健全的操作规程、岗位职责、辐射防护和安全保卫制度、设备检修维护制度、放射性同位素使用登记制度、人员培训计划、监测方案等。</w:t>
            </w:r>
          </w:p>
          <w:p w14:paraId="466252D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(7)有完善的辐射事故应急措施。</w:t>
            </w:r>
          </w:p>
          <w:p w14:paraId="5F94EE7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(8)产生放射性废气、废液、固体废物的，还应具有确保放射性废气、废液、固体废物达标排放的处理能力或者可行的处理方案。</w:t>
            </w:r>
          </w:p>
          <w:p w14:paraId="01866FA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使用放射性同位素和射线装置开展诊断和治疗的单位，还应当配备质量控制检测设备，制定相应的质量保证大纲和质量控制检测计划，至少有一名医用物理人员负责质量保证与质量控制检测工作。</w:t>
            </w:r>
          </w:p>
          <w:p w14:paraId="3641CB3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 xml:space="preserve">6.生产、销售、使用放射性同位素和射线装置的单位被责令限期整改，是否按期整改，经整改是否符合原发证条件。 </w:t>
            </w:r>
          </w:p>
          <w:p w14:paraId="438F274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7.生产放射性同位素的场所、产生放射性污染的放射性同位素销售和使用场所、产生放射性污染的射线装置及其场所，终结运行后是否依法实施退役。</w:t>
            </w:r>
          </w:p>
          <w:p w14:paraId="126009B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8.法律规定其他应核验的内容。</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7E405EB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5603686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辐射安全许可证</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7037F92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1.辐射安全许可证首次申领（重新申领）申请报告；</w:t>
            </w:r>
          </w:p>
          <w:p w14:paraId="06A7D83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2.辐射安全许可证申请表；</w:t>
            </w:r>
          </w:p>
          <w:p w14:paraId="1B90FD2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3.满足《放射性同位素与射线装置安全许可管理办法》第十三条至第十六条相应规定的证明材料；</w:t>
            </w:r>
          </w:p>
          <w:p w14:paraId="4BF2B13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4.单位现存的和拟新增加的放射源和射线装置明细表。</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0E5DD4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0842624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1F0644B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39CA9FA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4.审批机构决定核发/不予核发；</w:t>
            </w:r>
          </w:p>
          <w:p w14:paraId="040BB3B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5.制作颁发许可证；</w:t>
            </w:r>
          </w:p>
          <w:p w14:paraId="64E8D81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6.特殊环节（部分情况下开展）：技术审评、现场核查、专家评审等所需时间不计入审批时限。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00283E7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74197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0" w:hRule="atLeast"/>
          <w:jc w:val="center"/>
        </w:trPr>
        <w:tc>
          <w:tcPr>
            <w:tcW w:w="396" w:type="dxa"/>
            <w:vMerge w:val="continue"/>
            <w:tcBorders>
              <w:top w:val="single" w:color="auto" w:sz="4" w:space="0"/>
              <w:left w:val="single" w:color="000000" w:sz="4" w:space="0"/>
              <w:bottom w:val="single" w:color="auto" w:sz="4" w:space="0"/>
              <w:right w:val="single" w:color="000000" w:sz="4" w:space="0"/>
            </w:tcBorders>
            <w:noWrap/>
            <w:vAlign w:val="center"/>
          </w:tcPr>
          <w:p w14:paraId="10DBBB65">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single" w:color="auto" w:sz="4" w:space="0"/>
              <w:left w:val="single" w:color="000000" w:sz="4" w:space="0"/>
              <w:bottom w:val="single" w:color="auto" w:sz="4" w:space="0"/>
              <w:right w:val="single" w:color="000000" w:sz="4" w:space="0"/>
            </w:tcBorders>
            <w:noWrap w:val="0"/>
            <w:vAlign w:val="center"/>
          </w:tcPr>
          <w:p w14:paraId="74AF4A81">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nil"/>
              <w:left w:val="single" w:color="000000" w:sz="4" w:space="0"/>
              <w:bottom w:val="single" w:color="000000" w:sz="4" w:space="0"/>
              <w:right w:val="single" w:color="000000" w:sz="4" w:space="0"/>
            </w:tcBorders>
            <w:noWrap w:val="0"/>
            <w:vAlign w:val="center"/>
          </w:tcPr>
          <w:p w14:paraId="0EA0163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辐射安全许可证延续</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48EB592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省级</w:t>
            </w:r>
          </w:p>
          <w:p w14:paraId="72D0809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4117184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23379F4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3402EE5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24AE1C0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Style w:val="19"/>
                <w:rFonts w:hint="eastAsia" w:ascii="仿宋_GB2312" w:hAnsi="仿宋_GB2312" w:eastAsia="仿宋_GB2312" w:cs="仿宋_GB2312"/>
                <w:color w:val="auto"/>
                <w:sz w:val="18"/>
                <w:szCs w:val="18"/>
                <w:highlight w:val="none"/>
                <w:lang w:val="en-US" w:eastAsia="zh-CN" w:bidi="ar"/>
              </w:rPr>
            </w:pPr>
            <w:r>
              <w:rPr>
                <w:rStyle w:val="19"/>
                <w:rFonts w:hint="eastAsia" w:ascii="仿宋_GB2312" w:hAnsi="仿宋_GB2312" w:eastAsia="仿宋_GB2312" w:cs="仿宋_GB2312"/>
                <w:color w:val="auto"/>
                <w:sz w:val="18"/>
                <w:szCs w:val="18"/>
                <w:highlight w:val="none"/>
                <w:lang w:val="en-US" w:eastAsia="zh-CN" w:bidi="ar"/>
              </w:rPr>
              <w:t>1.个人剂量监测、工作场所和环境监测以及其他与项目有关的监测报告是否符合相关技术规范，监测数值是否超出国家规定限值；</w:t>
            </w:r>
          </w:p>
          <w:p w14:paraId="50AC575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Style w:val="19"/>
                <w:rFonts w:hint="eastAsia" w:ascii="仿宋_GB2312" w:hAnsi="仿宋_GB2312" w:eastAsia="仿宋_GB2312" w:cs="仿宋_GB2312"/>
                <w:color w:val="auto"/>
                <w:sz w:val="18"/>
                <w:szCs w:val="18"/>
                <w:highlight w:val="none"/>
                <w:lang w:val="en-US" w:eastAsia="zh-CN" w:bidi="ar"/>
              </w:rPr>
            </w:pPr>
            <w:r>
              <w:rPr>
                <w:rStyle w:val="19"/>
                <w:rFonts w:hint="eastAsia" w:ascii="仿宋_GB2312" w:hAnsi="仿宋_GB2312" w:eastAsia="仿宋_GB2312" w:cs="仿宋_GB2312"/>
                <w:color w:val="auto"/>
                <w:sz w:val="18"/>
                <w:szCs w:val="18"/>
                <w:highlight w:val="none"/>
                <w:lang w:val="en-US" w:eastAsia="zh-CN" w:bidi="ar"/>
              </w:rPr>
              <w:t>2.许可证有效期内的辐射安全防护工作总结是否全面、准确；</w:t>
            </w:r>
          </w:p>
          <w:p w14:paraId="426EC2C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Style w:val="20"/>
                <w:rFonts w:hint="eastAsia" w:ascii="仿宋_GB2312" w:hAnsi="仿宋_GB2312" w:eastAsia="仿宋_GB2312" w:cs="仿宋_GB2312"/>
                <w:color w:val="auto"/>
                <w:sz w:val="18"/>
                <w:szCs w:val="18"/>
                <w:highlight w:val="none"/>
                <w:lang w:val="en-US" w:eastAsia="zh-CN" w:bidi="ar"/>
              </w:rPr>
            </w:pPr>
            <w:r>
              <w:rPr>
                <w:rStyle w:val="19"/>
                <w:rFonts w:hint="eastAsia" w:ascii="仿宋_GB2312" w:hAnsi="仿宋_GB2312" w:eastAsia="仿宋_GB2312" w:cs="仿宋_GB2312"/>
                <w:color w:val="auto"/>
                <w:sz w:val="18"/>
                <w:szCs w:val="18"/>
                <w:highlight w:val="none"/>
                <w:lang w:val="en-US" w:eastAsia="zh-CN" w:bidi="ar"/>
              </w:rPr>
              <w:t>3.生产、销售、使用放射性同位素和射线装置的单位被责令限期整改，是否按期整改，经整改是否符合原发证条件；</w:t>
            </w:r>
          </w:p>
          <w:p w14:paraId="4A3D042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Style w:val="19"/>
                <w:rFonts w:hint="eastAsia" w:ascii="仿宋_GB2312" w:hAnsi="仿宋_GB2312" w:eastAsia="仿宋_GB2312" w:cs="仿宋_GB2312"/>
                <w:color w:val="auto"/>
                <w:sz w:val="18"/>
                <w:szCs w:val="18"/>
                <w:highlight w:val="none"/>
                <w:lang w:val="en-US" w:eastAsia="zh-CN" w:bidi="ar"/>
              </w:rPr>
              <w:t>4.法律规定其他应核验的内容。</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4853AE9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765A18F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辐射安全许可证</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8AD48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1.辐射安全许可证延续申请报告；</w:t>
            </w:r>
          </w:p>
          <w:p w14:paraId="47AD631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w:t>
            </w:r>
            <w:r>
              <w:rPr>
                <w:rFonts w:hint="eastAsia" w:ascii="仿宋_GB2312" w:hAnsi="仿宋_GB2312" w:eastAsia="仿宋_GB2312" w:cs="仿宋_GB2312"/>
                <w:i w:val="0"/>
                <w:color w:val="auto"/>
                <w:kern w:val="0"/>
                <w:sz w:val="18"/>
                <w:szCs w:val="18"/>
                <w:highlight w:val="none"/>
                <w:u w:val="none"/>
                <w:shd w:val="clear"/>
                <w:lang w:val="en-US" w:eastAsia="zh-CN" w:bidi="ar"/>
              </w:rPr>
              <w:t>.辐射安全许可证延续申请表</w:t>
            </w:r>
            <w:r>
              <w:rPr>
                <w:rFonts w:hint="eastAsia" w:ascii="仿宋_GB2312" w:hAnsi="仿宋_GB2312" w:eastAsia="仿宋_GB2312" w:cs="仿宋_GB2312"/>
                <w:i w:val="0"/>
                <w:color w:val="auto"/>
                <w:kern w:val="0"/>
                <w:sz w:val="18"/>
                <w:szCs w:val="18"/>
                <w:highlight w:val="none"/>
                <w:u w:val="none"/>
                <w:lang w:val="en-US" w:eastAsia="zh-CN" w:bidi="ar"/>
              </w:rPr>
              <w:t>；</w:t>
            </w:r>
          </w:p>
          <w:p w14:paraId="6A781A3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3.监测报告（包括辐射工作场所监测报告和辐射工作人员个人剂量检测报告）；</w:t>
            </w:r>
          </w:p>
          <w:p w14:paraId="19CE35C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4.许可证有效期内的辐射安全防护工作总结；</w:t>
            </w:r>
          </w:p>
          <w:p w14:paraId="02B8501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leftChars="0" w:right="0" w:rightChars="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5.原辐射安全许可证正本、副本。</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232BD9A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79C1436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47B7150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13C6CDB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4.审批机构决定核发/不予核发；</w:t>
            </w:r>
          </w:p>
          <w:p w14:paraId="68E97DE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5.制作颁发许可证；</w:t>
            </w:r>
          </w:p>
          <w:p w14:paraId="35861C8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6.特殊环节（部分情况下开展）：技术审评、现场核查、专家评审等所需时间不计入审批时限。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105F2F5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339A8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5" w:hRule="atLeast"/>
          <w:jc w:val="center"/>
        </w:trPr>
        <w:tc>
          <w:tcPr>
            <w:tcW w:w="396" w:type="dxa"/>
            <w:vMerge w:val="continue"/>
            <w:tcBorders>
              <w:top w:val="single" w:color="auto" w:sz="4" w:space="0"/>
              <w:left w:val="single" w:color="000000" w:sz="4" w:space="0"/>
              <w:bottom w:val="single" w:color="auto" w:sz="4" w:space="0"/>
              <w:right w:val="single" w:color="000000" w:sz="4" w:space="0"/>
            </w:tcBorders>
            <w:noWrap/>
            <w:vAlign w:val="center"/>
          </w:tcPr>
          <w:p w14:paraId="3CF0A023">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single" w:color="auto" w:sz="4" w:space="0"/>
              <w:left w:val="single" w:color="000000" w:sz="4" w:space="0"/>
              <w:bottom w:val="single" w:color="auto" w:sz="4" w:space="0"/>
              <w:right w:val="single" w:color="000000" w:sz="4" w:space="0"/>
            </w:tcBorders>
            <w:noWrap w:val="0"/>
            <w:vAlign w:val="center"/>
          </w:tcPr>
          <w:p w14:paraId="6E2CF3B2">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355202F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辐射安全许可证变更</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44A497C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省级</w:t>
            </w:r>
          </w:p>
          <w:p w14:paraId="5D03FAF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4BBC315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53E956A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74D3D68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0AE1C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Style w:val="19"/>
                <w:rFonts w:hint="eastAsia" w:ascii="仿宋_GB2312" w:hAnsi="仿宋_GB2312" w:eastAsia="仿宋_GB2312" w:cs="仿宋_GB2312"/>
                <w:color w:val="auto"/>
                <w:sz w:val="18"/>
                <w:szCs w:val="18"/>
                <w:highlight w:val="none"/>
                <w:lang w:val="en-US" w:eastAsia="zh-CN" w:bidi="ar"/>
              </w:rPr>
            </w:pPr>
            <w:r>
              <w:rPr>
                <w:rStyle w:val="19"/>
                <w:rFonts w:hint="eastAsia" w:ascii="仿宋_GB2312" w:hAnsi="仿宋_GB2312" w:eastAsia="仿宋_GB2312" w:cs="仿宋_GB2312"/>
                <w:color w:val="auto"/>
                <w:sz w:val="18"/>
                <w:szCs w:val="18"/>
                <w:highlight w:val="none"/>
                <w:lang w:val="en-US" w:eastAsia="zh-CN" w:bidi="ar"/>
              </w:rPr>
              <w:t>1.申请单位变更后社会统一信用代码是否相同；</w:t>
            </w:r>
          </w:p>
          <w:p w14:paraId="0485492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Style w:val="20"/>
                <w:rFonts w:hint="eastAsia" w:ascii="仿宋_GB2312" w:hAnsi="仿宋_GB2312" w:eastAsia="仿宋_GB2312" w:cs="仿宋_GB2312"/>
                <w:color w:val="auto"/>
                <w:sz w:val="18"/>
                <w:szCs w:val="18"/>
                <w:highlight w:val="none"/>
                <w:lang w:val="en-US" w:eastAsia="zh-CN" w:bidi="ar"/>
              </w:rPr>
            </w:pPr>
            <w:r>
              <w:rPr>
                <w:rStyle w:val="19"/>
                <w:rFonts w:hint="eastAsia" w:ascii="仿宋_GB2312" w:hAnsi="仿宋_GB2312" w:eastAsia="仿宋_GB2312" w:cs="仿宋_GB2312"/>
                <w:color w:val="auto"/>
                <w:sz w:val="18"/>
                <w:szCs w:val="18"/>
                <w:highlight w:val="none"/>
                <w:lang w:val="en-US" w:eastAsia="zh-CN" w:bidi="ar"/>
              </w:rPr>
              <w:t>2.生产、销售、使用放射性同位素和射线装置的单位被责令限期整改，是否按期整改，经整改是否符合原发证条件；</w:t>
            </w:r>
          </w:p>
          <w:p w14:paraId="770235C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Style w:val="19"/>
                <w:rFonts w:hint="eastAsia" w:ascii="仿宋_GB2312" w:hAnsi="仿宋_GB2312" w:eastAsia="仿宋_GB2312" w:cs="仿宋_GB2312"/>
                <w:color w:val="auto"/>
                <w:sz w:val="18"/>
                <w:szCs w:val="18"/>
                <w:highlight w:val="none"/>
                <w:lang w:val="en-US" w:eastAsia="zh-CN" w:bidi="ar"/>
              </w:rPr>
              <w:t>3.法律规定其他应核验的内容。</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76E57E0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585BA3D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辐射安全许可证</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6BBCE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1.辐射安全许可证变更申请报告；</w:t>
            </w:r>
          </w:p>
          <w:p w14:paraId="03D052D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shd w:val="clear"/>
                <w:lang w:val="en-US" w:eastAsia="zh-CN" w:bidi="ar"/>
              </w:rPr>
              <w:t>2.</w:t>
            </w:r>
            <w:r>
              <w:rPr>
                <w:rFonts w:hint="eastAsia" w:ascii="仿宋_GB2312" w:hAnsi="仿宋_GB2312" w:eastAsia="仿宋_GB2312" w:cs="仿宋_GB2312"/>
                <w:i w:val="0"/>
                <w:color w:val="auto"/>
                <w:kern w:val="0"/>
                <w:sz w:val="18"/>
                <w:szCs w:val="18"/>
                <w:highlight w:val="none"/>
                <w:u w:val="none"/>
                <w:lang w:val="en-US" w:eastAsia="zh-CN" w:bidi="ar"/>
              </w:rPr>
              <w:t>辐射安全</w:t>
            </w:r>
            <w:r>
              <w:rPr>
                <w:rFonts w:hint="eastAsia" w:ascii="仿宋_GB2312" w:hAnsi="仿宋_GB2312" w:eastAsia="仿宋_GB2312" w:cs="仿宋_GB2312"/>
                <w:i w:val="0"/>
                <w:color w:val="auto"/>
                <w:kern w:val="0"/>
                <w:sz w:val="18"/>
                <w:szCs w:val="18"/>
                <w:highlight w:val="none"/>
                <w:u w:val="none"/>
                <w:shd w:val="clear"/>
                <w:lang w:val="en-US" w:eastAsia="zh-CN" w:bidi="ar"/>
              </w:rPr>
              <w:t>许可证变更申请表</w:t>
            </w:r>
            <w:r>
              <w:rPr>
                <w:rFonts w:hint="eastAsia" w:ascii="仿宋_GB2312" w:hAnsi="仿宋_GB2312" w:eastAsia="仿宋_GB2312" w:cs="仿宋_GB2312"/>
                <w:i w:val="0"/>
                <w:color w:val="auto"/>
                <w:kern w:val="0"/>
                <w:sz w:val="18"/>
                <w:szCs w:val="18"/>
                <w:highlight w:val="none"/>
                <w:u w:val="none"/>
                <w:lang w:val="en-US" w:eastAsia="zh-CN" w:bidi="ar"/>
              </w:rPr>
              <w:t>；</w:t>
            </w:r>
          </w:p>
          <w:p w14:paraId="551A082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leftChars="0" w:right="0" w:rightChars="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3.原辐射安全许可证正本、副本。</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5D1693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25B4A58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48D23EA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12CB51E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4.审批机构决定核发/不予核发；</w:t>
            </w:r>
          </w:p>
          <w:p w14:paraId="1336BA1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5.制作颁发许可证。</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7C7B573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19DBD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4" w:hRule="atLeast"/>
          <w:jc w:val="center"/>
        </w:trPr>
        <w:tc>
          <w:tcPr>
            <w:tcW w:w="396" w:type="dxa"/>
            <w:vMerge w:val="continue"/>
            <w:tcBorders>
              <w:top w:val="single" w:color="auto" w:sz="4" w:space="0"/>
              <w:left w:val="single" w:color="000000" w:sz="4" w:space="0"/>
              <w:bottom w:val="single" w:color="auto" w:sz="4" w:space="0"/>
              <w:right w:val="single" w:color="000000" w:sz="4" w:space="0"/>
            </w:tcBorders>
            <w:noWrap/>
            <w:vAlign w:val="center"/>
          </w:tcPr>
          <w:p w14:paraId="47CF8A02">
            <w:pPr>
              <w:keepNext w:val="0"/>
              <w:keepLines w:val="0"/>
              <w:pageBreakBefore w:val="0"/>
              <w:shd w:val="clear" w:color="auto"/>
              <w:kinsoku/>
              <w:wordWrap/>
              <w:overflowPunct/>
              <w:topLinePunct w:val="0"/>
              <w:autoSpaceDE/>
              <w:autoSpaceDN/>
              <w:bidi w:val="0"/>
              <w:adjustRightInd w:val="0"/>
              <w:snapToGrid/>
              <w:spacing w:line="240" w:lineRule="exact"/>
              <w:ind w:left="0" w:right="0"/>
              <w:jc w:val="center"/>
              <w:rPr>
                <w:rFonts w:hint="eastAsia" w:ascii="仿宋_GB2312" w:hAnsi="仿宋_GB2312" w:eastAsia="仿宋_GB2312" w:cs="仿宋_GB2312"/>
                <w:i w:val="0"/>
                <w:color w:val="auto"/>
                <w:sz w:val="18"/>
                <w:szCs w:val="18"/>
                <w:highlight w:val="none"/>
                <w:u w:val="none"/>
              </w:rPr>
            </w:pPr>
          </w:p>
        </w:tc>
        <w:tc>
          <w:tcPr>
            <w:tcW w:w="758" w:type="dxa"/>
            <w:vMerge w:val="continue"/>
            <w:tcBorders>
              <w:top w:val="single" w:color="auto" w:sz="4" w:space="0"/>
              <w:left w:val="single" w:color="000000" w:sz="4" w:space="0"/>
              <w:bottom w:val="single" w:color="auto" w:sz="4" w:space="0"/>
              <w:right w:val="single" w:color="000000" w:sz="4" w:space="0"/>
            </w:tcBorders>
            <w:noWrap w:val="0"/>
            <w:vAlign w:val="center"/>
          </w:tcPr>
          <w:p w14:paraId="5B86B007">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790D2FD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辐射安全许可证注销</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5D993E0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省级</w:t>
            </w:r>
          </w:p>
          <w:p w14:paraId="3E1C58A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市级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6B00CB4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5ED29F6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4247F11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929CB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Style w:val="20"/>
                <w:rFonts w:hint="eastAsia" w:ascii="仿宋_GB2312" w:hAnsi="仿宋_GB2312" w:eastAsia="仿宋_GB2312" w:cs="仿宋_GB2312"/>
                <w:color w:val="auto"/>
                <w:sz w:val="18"/>
                <w:szCs w:val="18"/>
                <w:highlight w:val="none"/>
                <w:lang w:val="en-US" w:eastAsia="zh-CN" w:bidi="ar"/>
              </w:rPr>
            </w:pPr>
            <w:r>
              <w:rPr>
                <w:rStyle w:val="19"/>
                <w:rFonts w:hint="eastAsia" w:ascii="仿宋_GB2312" w:hAnsi="仿宋_GB2312" w:eastAsia="仿宋_GB2312" w:cs="仿宋_GB2312"/>
                <w:color w:val="auto"/>
                <w:sz w:val="18"/>
                <w:szCs w:val="18"/>
                <w:highlight w:val="none"/>
                <w:lang w:val="en-US" w:eastAsia="zh-CN" w:bidi="ar"/>
              </w:rPr>
              <w:t>1.生产、销售、使用放射性同位素和射线装置的单位被责令限期整改，是否按期整改，经整改是否符合原发证条件；</w:t>
            </w:r>
          </w:p>
          <w:p w14:paraId="193A36E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Style w:val="19"/>
                <w:rFonts w:hint="eastAsia" w:ascii="仿宋_GB2312" w:hAnsi="仿宋_GB2312" w:eastAsia="仿宋_GB2312" w:cs="仿宋_GB2312"/>
                <w:color w:val="auto"/>
                <w:sz w:val="18"/>
                <w:szCs w:val="18"/>
                <w:highlight w:val="none"/>
                <w:lang w:val="en-US" w:eastAsia="zh-CN" w:bidi="ar"/>
              </w:rPr>
            </w:pPr>
            <w:r>
              <w:rPr>
                <w:rStyle w:val="19"/>
                <w:rFonts w:hint="eastAsia" w:ascii="仿宋_GB2312" w:hAnsi="仿宋_GB2312" w:eastAsia="仿宋_GB2312" w:cs="仿宋_GB2312"/>
                <w:color w:val="auto"/>
                <w:sz w:val="18"/>
                <w:szCs w:val="18"/>
                <w:highlight w:val="none"/>
                <w:lang w:val="en-US" w:eastAsia="zh-CN" w:bidi="ar"/>
              </w:rPr>
              <w:t>2.生产放射性同位素的场所、产生放射性污染的放射性同位素销售和使用场所、产生放射性污染的射线装置及其场所，终结运行后是否依法实施退役；</w:t>
            </w:r>
          </w:p>
          <w:p w14:paraId="1688894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Style w:val="19"/>
                <w:rFonts w:hint="eastAsia" w:ascii="仿宋_GB2312" w:hAnsi="仿宋_GB2312" w:eastAsia="仿宋_GB2312" w:cs="仿宋_GB2312"/>
                <w:color w:val="auto"/>
                <w:sz w:val="18"/>
                <w:szCs w:val="18"/>
                <w:highlight w:val="none"/>
                <w:lang w:val="en-US" w:eastAsia="zh-CN" w:bidi="ar"/>
              </w:rPr>
              <w:t>3.法律规定其他应核验的内容。</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1E16965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55F2C5D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b w:val="0"/>
                <w:bCs w:val="0"/>
                <w:color w:val="auto"/>
                <w:kern w:val="0"/>
                <w:sz w:val="18"/>
                <w:szCs w:val="18"/>
                <w:highlight w:val="none"/>
                <w:u w:val="none"/>
                <w:lang w:val="en-US" w:eastAsia="zh-CN" w:bidi="ar"/>
              </w:rPr>
              <w:t>辐射安全许可证注销行政许可决定书</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76CE7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1.辐射安全许可证注销申请报告；</w:t>
            </w:r>
          </w:p>
          <w:p w14:paraId="413E337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strike w:val="0"/>
                <w:color w:val="auto"/>
                <w:kern w:val="0"/>
                <w:sz w:val="18"/>
                <w:szCs w:val="18"/>
                <w:highlight w:val="none"/>
                <w:u w:val="none"/>
                <w:shd w:val="clear" w:fill="FFFF00"/>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w:t>
            </w:r>
            <w:r>
              <w:rPr>
                <w:rFonts w:hint="eastAsia" w:ascii="仿宋_GB2312" w:hAnsi="仿宋_GB2312" w:eastAsia="仿宋_GB2312" w:cs="仿宋_GB2312"/>
                <w:i w:val="0"/>
                <w:color w:val="auto"/>
                <w:kern w:val="0"/>
                <w:sz w:val="18"/>
                <w:szCs w:val="18"/>
                <w:highlight w:val="none"/>
                <w:u w:val="none"/>
                <w:shd w:val="clear"/>
                <w:lang w:val="en-US" w:eastAsia="zh-CN" w:bidi="ar"/>
              </w:rPr>
              <w:t>辐射安全许可证注销申请表；</w:t>
            </w:r>
          </w:p>
          <w:p w14:paraId="64D39CA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strike w:val="0"/>
                <w:color w:val="auto"/>
                <w:kern w:val="0"/>
                <w:sz w:val="18"/>
                <w:szCs w:val="18"/>
                <w:highlight w:val="none"/>
                <w:u w:val="none"/>
                <w:shd w:val="clear"/>
                <w:lang w:val="en-US" w:eastAsia="zh-CN" w:bidi="ar"/>
              </w:rPr>
            </w:pPr>
            <w:r>
              <w:rPr>
                <w:rFonts w:hint="eastAsia" w:ascii="仿宋_GB2312" w:hAnsi="仿宋_GB2312" w:eastAsia="仿宋_GB2312" w:cs="仿宋_GB2312"/>
                <w:i w:val="0"/>
                <w:strike w:val="0"/>
                <w:color w:val="auto"/>
                <w:kern w:val="0"/>
                <w:sz w:val="18"/>
                <w:szCs w:val="18"/>
                <w:highlight w:val="none"/>
                <w:u w:val="none"/>
                <w:shd w:val="clear"/>
                <w:lang w:val="en-US" w:eastAsia="zh-CN" w:bidi="ar"/>
              </w:rPr>
              <w:t>3.</w:t>
            </w:r>
            <w:r>
              <w:rPr>
                <w:rStyle w:val="13"/>
                <w:rFonts w:hint="eastAsia" w:ascii="仿宋_GB2312" w:hAnsi="仿宋_GB2312" w:eastAsia="仿宋_GB2312" w:cs="仿宋_GB2312"/>
                <w:color w:val="auto"/>
                <w:kern w:val="0"/>
                <w:sz w:val="18"/>
                <w:szCs w:val="18"/>
                <w:highlight w:val="none"/>
                <w:u w:val="none"/>
                <w:lang w:val="en-US" w:eastAsia="zh-CN" w:bidi="ar"/>
              </w:rPr>
              <w:t>依法实施退役程序的，需提供实施退役的相关证明材料，包括已终止使用的放射源和射线装置明细表及最终处置相关材料等；</w:t>
            </w:r>
          </w:p>
          <w:p w14:paraId="05955CC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4.原辐射安全许可证正本、副本。</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56A1E61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4648356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191347B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02646D1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4.审批机构决定注销/不予注销；</w:t>
            </w:r>
          </w:p>
          <w:p w14:paraId="3CCA3ED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5.特殊环节（部分情况下开展）：技术审评、现场核查、专家评审等所需时间不计入审批时限。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B7E815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206E5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6" w:hRule="atLeast"/>
          <w:jc w:val="center"/>
        </w:trPr>
        <w:tc>
          <w:tcPr>
            <w:tcW w:w="396" w:type="dxa"/>
            <w:tcBorders>
              <w:top w:val="single" w:color="auto" w:sz="4" w:space="0"/>
              <w:left w:val="single" w:color="000000" w:sz="4" w:space="0"/>
              <w:bottom w:val="single" w:color="000000" w:sz="4" w:space="0"/>
              <w:right w:val="single" w:color="000000" w:sz="4" w:space="0"/>
            </w:tcBorders>
            <w:noWrap w:val="0"/>
            <w:vAlign w:val="center"/>
          </w:tcPr>
          <w:p w14:paraId="60FDE23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lang w:val="en-US"/>
              </w:rPr>
            </w:pPr>
            <w:r>
              <w:rPr>
                <w:rFonts w:hint="eastAsia" w:ascii="仿宋_GB2312" w:hAnsi="仿宋_GB2312" w:eastAsia="仿宋_GB2312" w:cs="仿宋_GB2312"/>
                <w:i w:val="0"/>
                <w:color w:val="auto"/>
                <w:kern w:val="0"/>
                <w:sz w:val="18"/>
                <w:szCs w:val="18"/>
                <w:highlight w:val="none"/>
                <w:u w:val="none"/>
                <w:lang w:val="en-US" w:eastAsia="zh-CN" w:bidi="ar"/>
              </w:rPr>
              <w:t>13</w:t>
            </w:r>
          </w:p>
        </w:tc>
        <w:tc>
          <w:tcPr>
            <w:tcW w:w="758" w:type="dxa"/>
            <w:tcBorders>
              <w:top w:val="single" w:color="auto" w:sz="4" w:space="0"/>
              <w:left w:val="single" w:color="000000" w:sz="4" w:space="0"/>
              <w:bottom w:val="single" w:color="000000" w:sz="4" w:space="0"/>
              <w:right w:val="single" w:color="000000" w:sz="4" w:space="0"/>
            </w:tcBorders>
            <w:noWrap w:val="0"/>
            <w:vAlign w:val="center"/>
          </w:tcPr>
          <w:p w14:paraId="41B4F3E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放射性同位素转让审批</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3C0A761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2"/>
                <w:sz w:val="18"/>
                <w:szCs w:val="18"/>
                <w:highlight w:val="none"/>
                <w:u w:val="none"/>
                <w:lang w:val="en-US" w:eastAsia="zh-CN" w:bidi="ar-SA"/>
              </w:rPr>
            </w:pPr>
            <w:r>
              <w:rPr>
                <w:rFonts w:hint="eastAsia" w:ascii="仿宋_GB2312" w:hAnsi="仿宋_GB2312" w:eastAsia="仿宋_GB2312" w:cs="仿宋_GB2312"/>
                <w:i w:val="0"/>
                <w:color w:val="auto"/>
                <w:kern w:val="0"/>
                <w:sz w:val="18"/>
                <w:szCs w:val="18"/>
                <w:highlight w:val="none"/>
                <w:u w:val="none"/>
                <w:lang w:val="en-US" w:eastAsia="zh-CN" w:bidi="ar"/>
              </w:rPr>
              <w:t>放射性同位素转让审批</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5C3FD2C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686D3CE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53584FD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15</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12A216C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4B32522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1、转出、转入单位是否持有与所从事活动相符的许可证；</w:t>
            </w:r>
          </w:p>
          <w:p w14:paraId="06CDBE7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2、转入单位是否具有放射性同位素使用期满后的处理方案；</w:t>
            </w:r>
          </w:p>
          <w:p w14:paraId="42430C5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3、转让双方是否已经签订书面转让协议。</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657AC33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noWrap w:val="0"/>
            <w:vAlign w:val="center"/>
          </w:tcPr>
          <w:p w14:paraId="4A8CB3A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放射性同位素转让审批行政许可决定书</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7F52437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1.放射性同位素转让审批表；</w:t>
            </w:r>
          </w:p>
          <w:p w14:paraId="4D70952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2.转让双方签订书面转让协议；</w:t>
            </w:r>
          </w:p>
          <w:p w14:paraId="5143EBA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3.对放射性同位素使用期满后的处理方案。</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3BD60D0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1892B7E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5368BF8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4DF3EF5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4.审批机构批准/不予批准。</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A5B9A0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2FFAB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9" w:hRule="atLeast"/>
          <w:jc w:val="center"/>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6E9B0EA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lang w:val="en-US"/>
              </w:rPr>
            </w:pPr>
            <w:r>
              <w:rPr>
                <w:rFonts w:hint="eastAsia" w:ascii="仿宋_GB2312" w:hAnsi="仿宋_GB2312" w:eastAsia="仿宋_GB2312" w:cs="仿宋_GB2312"/>
                <w:i w:val="0"/>
                <w:color w:val="auto"/>
                <w:kern w:val="0"/>
                <w:sz w:val="18"/>
                <w:szCs w:val="18"/>
                <w:highlight w:val="none"/>
                <w:u w:val="none"/>
                <w:lang w:val="en-US" w:eastAsia="zh-CN" w:bidi="ar"/>
              </w:rPr>
              <w:t>14</w:t>
            </w:r>
          </w:p>
        </w:tc>
        <w:tc>
          <w:tcPr>
            <w:tcW w:w="758" w:type="dxa"/>
            <w:tcBorders>
              <w:top w:val="single" w:color="000000" w:sz="4" w:space="0"/>
              <w:left w:val="single" w:color="000000" w:sz="4" w:space="0"/>
              <w:bottom w:val="single" w:color="000000" w:sz="4" w:space="0"/>
              <w:right w:val="single" w:color="000000" w:sz="4" w:space="0"/>
            </w:tcBorders>
            <w:noWrap w:val="0"/>
            <w:vAlign w:val="center"/>
          </w:tcPr>
          <w:p w14:paraId="7F13F35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在野外进行放射性同位素示踪试验审批</w:t>
            </w:r>
          </w:p>
        </w:tc>
        <w:tc>
          <w:tcPr>
            <w:tcW w:w="1890" w:type="dxa"/>
            <w:tcBorders>
              <w:top w:val="single" w:color="000000" w:sz="4" w:space="0"/>
              <w:left w:val="single" w:color="000000" w:sz="4" w:space="0"/>
              <w:bottom w:val="single" w:color="000000" w:sz="4" w:space="0"/>
              <w:right w:val="single" w:color="000000" w:sz="4" w:space="0"/>
            </w:tcBorders>
            <w:noWrap/>
            <w:vAlign w:val="center"/>
          </w:tcPr>
          <w:p w14:paraId="6AB7737D">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2"/>
                <w:sz w:val="18"/>
                <w:szCs w:val="18"/>
                <w:highlight w:val="none"/>
                <w:u w:val="none"/>
                <w:lang w:val="en-US" w:eastAsia="zh-CN" w:bidi="ar-SA"/>
              </w:rPr>
            </w:pPr>
            <w:r>
              <w:rPr>
                <w:rFonts w:hint="eastAsia" w:ascii="仿宋_GB2312" w:hAnsi="仿宋_GB2312" w:eastAsia="仿宋_GB2312" w:cs="仿宋_GB2312"/>
                <w:i w:val="0"/>
                <w:color w:val="auto"/>
                <w:kern w:val="0"/>
                <w:sz w:val="18"/>
                <w:szCs w:val="18"/>
                <w:highlight w:val="none"/>
                <w:u w:val="none"/>
                <w:lang w:val="en-US" w:eastAsia="zh-CN" w:bidi="ar"/>
              </w:rPr>
              <w:t>在野外进行放射性同位素示踪试验审批</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9B9BD3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3DE6939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ign w:val="center"/>
          </w:tcPr>
          <w:p w14:paraId="7337BA2B">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20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5F5546D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11EEB9D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是否编制在野外进行放射性同位素示踪试验生态环境影响评价文件，核验内容同核与辐射类建设项目生态环境影响报告表审批。</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31A3913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4171F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leftChars="0" w:right="0" w:rightChars="0"/>
              <w:jc w:val="center"/>
              <w:textAlignment w:val="center"/>
              <w:rPr>
                <w:rFonts w:hint="eastAsia" w:ascii="仿宋_GB2312" w:hAnsi="仿宋_GB2312" w:eastAsia="仿宋_GB2312" w:cs="仿宋_GB2312"/>
                <w:i w:val="0"/>
                <w:color w:val="auto"/>
                <w:kern w:val="2"/>
                <w:sz w:val="18"/>
                <w:szCs w:val="18"/>
                <w:highlight w:val="none"/>
                <w:u w:val="none"/>
                <w:lang w:val="en-US" w:eastAsia="zh-CN" w:bidi="ar-SA"/>
              </w:rPr>
            </w:pPr>
            <w:r>
              <w:rPr>
                <w:rFonts w:hint="eastAsia" w:ascii="仿宋_GB2312" w:hAnsi="仿宋_GB2312" w:eastAsia="仿宋_GB2312" w:cs="仿宋_GB2312"/>
                <w:i w:val="0"/>
                <w:color w:val="auto"/>
                <w:kern w:val="0"/>
                <w:sz w:val="18"/>
                <w:szCs w:val="18"/>
                <w:highlight w:val="none"/>
                <w:u w:val="none"/>
                <w:lang w:val="en-US" w:eastAsia="zh-CN" w:bidi="ar"/>
              </w:rPr>
              <w:t>关于核与辐射类建设项目生态环境影响报告</w:t>
            </w:r>
            <w:r>
              <w:rPr>
                <w:rFonts w:hint="eastAsia" w:ascii="仿宋_GB2312" w:hAnsi="仿宋_GB2312" w:eastAsia="仿宋_GB2312" w:cs="仿宋_GB2312"/>
                <w:b w:val="0"/>
                <w:bCs w:val="0"/>
                <w:i w:val="0"/>
                <w:color w:val="auto"/>
                <w:kern w:val="0"/>
                <w:sz w:val="18"/>
                <w:szCs w:val="18"/>
                <w:highlight w:val="none"/>
                <w:u w:val="none"/>
                <w:shd w:val="clear"/>
                <w:lang w:val="en-US" w:eastAsia="zh-CN" w:bidi="ar"/>
              </w:rPr>
              <w:t>表</w:t>
            </w:r>
            <w:r>
              <w:rPr>
                <w:rFonts w:hint="eastAsia" w:ascii="仿宋_GB2312" w:hAnsi="仿宋_GB2312" w:eastAsia="仿宋_GB2312" w:cs="仿宋_GB2312"/>
                <w:i w:val="0"/>
                <w:color w:val="auto"/>
                <w:kern w:val="0"/>
                <w:sz w:val="18"/>
                <w:szCs w:val="18"/>
                <w:highlight w:val="none"/>
                <w:u w:val="none"/>
                <w:lang w:val="en-US" w:eastAsia="zh-CN" w:bidi="ar"/>
              </w:rPr>
              <w:t>的批复</w:t>
            </w:r>
          </w:p>
        </w:tc>
        <w:tc>
          <w:tcPr>
            <w:tcW w:w="302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DC060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1.建设项目生态环境影响评价文件报批申请；</w:t>
            </w:r>
          </w:p>
          <w:p w14:paraId="102BAB1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leftChars="0" w:right="0" w:rightChars="0"/>
              <w:jc w:val="left"/>
              <w:textAlignment w:val="center"/>
              <w:rPr>
                <w:rFonts w:hint="eastAsia" w:ascii="仿宋_GB2312" w:hAnsi="仿宋_GB2312" w:eastAsia="仿宋_GB2312" w:cs="仿宋_GB2312"/>
                <w:i w:val="0"/>
                <w:color w:val="auto"/>
                <w:kern w:val="2"/>
                <w:sz w:val="18"/>
                <w:szCs w:val="18"/>
                <w:highlight w:val="none"/>
                <w:u w:val="none"/>
                <w:lang w:val="en-US" w:eastAsia="zh-CN" w:bidi="ar-SA"/>
              </w:rPr>
            </w:pPr>
            <w:r>
              <w:rPr>
                <w:rFonts w:hint="eastAsia" w:ascii="仿宋_GB2312" w:hAnsi="仿宋_GB2312" w:eastAsia="仿宋_GB2312" w:cs="仿宋_GB2312"/>
                <w:i w:val="0"/>
                <w:color w:val="auto"/>
                <w:kern w:val="0"/>
                <w:sz w:val="18"/>
                <w:szCs w:val="18"/>
                <w:highlight w:val="none"/>
                <w:u w:val="none"/>
                <w:lang w:val="en-US" w:eastAsia="zh-CN" w:bidi="ar"/>
              </w:rPr>
              <w:t>2.建设项目生态环境影响报告表。涉及国家秘密、商业秘密和个人隐私的，申请人应当自行作出删除、遮盖等区分处理，并提交有关说明材料。</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25E2B4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43B71DC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47073B5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0D82241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4.审批机构批准/不予批准；</w:t>
            </w:r>
          </w:p>
          <w:p w14:paraId="1142B8A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5.审批决定公告；</w:t>
            </w:r>
          </w:p>
          <w:p w14:paraId="46A49D7E">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6.特殊环节（部分情况下开展）：技术评估、现场勘验、听证等所需时间不计入审批时限。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42721D1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r w14:paraId="461DD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28" w:hRule="atLeast"/>
          <w:jc w:val="center"/>
        </w:trPr>
        <w:tc>
          <w:tcPr>
            <w:tcW w:w="396" w:type="dxa"/>
            <w:tcBorders>
              <w:top w:val="single" w:color="000000" w:sz="4" w:space="0"/>
              <w:left w:val="single" w:color="000000" w:sz="4" w:space="0"/>
              <w:bottom w:val="single" w:color="000000" w:sz="4" w:space="0"/>
              <w:right w:val="single" w:color="000000" w:sz="4" w:space="0"/>
            </w:tcBorders>
            <w:noWrap w:val="0"/>
            <w:vAlign w:val="center"/>
          </w:tcPr>
          <w:p w14:paraId="5BD79C7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lang w:val="en-US"/>
              </w:rPr>
            </w:pPr>
            <w:r>
              <w:rPr>
                <w:rFonts w:hint="eastAsia" w:ascii="仿宋_GB2312" w:hAnsi="仿宋_GB2312" w:eastAsia="仿宋_GB2312" w:cs="仿宋_GB2312"/>
                <w:i w:val="0"/>
                <w:color w:val="auto"/>
                <w:kern w:val="0"/>
                <w:sz w:val="18"/>
                <w:szCs w:val="18"/>
                <w:highlight w:val="none"/>
                <w:u w:val="none"/>
                <w:lang w:val="en-US" w:eastAsia="zh-CN" w:bidi="ar"/>
              </w:rPr>
              <w:t>15</w:t>
            </w:r>
          </w:p>
        </w:tc>
        <w:tc>
          <w:tcPr>
            <w:tcW w:w="758" w:type="dxa"/>
            <w:tcBorders>
              <w:top w:val="single" w:color="000000" w:sz="4" w:space="0"/>
              <w:left w:val="single" w:color="000000" w:sz="4" w:space="0"/>
              <w:bottom w:val="single" w:color="000000" w:sz="4" w:space="0"/>
              <w:right w:val="single" w:color="000000" w:sz="4" w:space="0"/>
            </w:tcBorders>
            <w:noWrap w:val="0"/>
            <w:vAlign w:val="center"/>
          </w:tcPr>
          <w:p w14:paraId="7D29A1F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放射性核素排放许可</w:t>
            </w:r>
          </w:p>
        </w:tc>
        <w:tc>
          <w:tcPr>
            <w:tcW w:w="1890" w:type="dxa"/>
            <w:tcBorders>
              <w:top w:val="single" w:color="000000" w:sz="4" w:space="0"/>
              <w:left w:val="single" w:color="000000" w:sz="4" w:space="0"/>
              <w:bottom w:val="single" w:color="000000" w:sz="4" w:space="0"/>
              <w:right w:val="single" w:color="000000" w:sz="4" w:space="0"/>
            </w:tcBorders>
            <w:noWrap w:val="0"/>
            <w:vAlign w:val="center"/>
          </w:tcPr>
          <w:p w14:paraId="6EB3EA4F">
            <w:pPr>
              <w:keepNext w:val="0"/>
              <w:keepLines w:val="0"/>
              <w:pageBreakBefore w:val="0"/>
              <w:shd w:val="clear" w:color="auto"/>
              <w:kinsoku/>
              <w:wordWrap/>
              <w:overflowPunct/>
              <w:topLinePunct w:val="0"/>
              <w:autoSpaceDE/>
              <w:autoSpaceDN/>
              <w:bidi w:val="0"/>
              <w:adjustRightInd w:val="0"/>
              <w:snapToGrid/>
              <w:spacing w:line="240" w:lineRule="exact"/>
              <w:ind w:left="0" w:right="0"/>
              <w:jc w:val="left"/>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放射性核素排放许可</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3D94F279">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09F5DAE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省生态环境厅</w:t>
            </w:r>
          </w:p>
        </w:tc>
        <w:tc>
          <w:tcPr>
            <w:tcW w:w="966" w:type="dxa"/>
            <w:tcBorders>
              <w:top w:val="single" w:color="000000" w:sz="4" w:space="0"/>
              <w:left w:val="single" w:color="000000" w:sz="4" w:space="0"/>
              <w:bottom w:val="single" w:color="000000" w:sz="4" w:space="0"/>
              <w:right w:val="single" w:color="000000" w:sz="4" w:space="0"/>
            </w:tcBorders>
            <w:noWrap w:val="0"/>
            <w:vAlign w:val="center"/>
          </w:tcPr>
          <w:p w14:paraId="500088B8">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14:paraId="49008C15">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承诺件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6B533B9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1.核与辐射类建设项目放射性核素排放是生态环境影响评价的必要内容，包含在生态环境影响评价文件审批中，本事项与“核与辐射类建设项目生态环境影响评价审批”许可事项合并办理，不单独审批；</w:t>
            </w:r>
          </w:p>
          <w:p w14:paraId="44A175B7">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2.申请单位根据《建设项目环境影响评价分类管理目录》规定，组织编制的环境影响评价文件，属于省级生态环境部门审批的项目；</w:t>
            </w:r>
          </w:p>
          <w:p w14:paraId="1216598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3.生态环境影响评价文件中已评估核与辐射类建设项目放射性核素排放情况；</w:t>
            </w:r>
          </w:p>
          <w:p w14:paraId="4E6EF47C">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4.建设项目的现场条件与申请材料相符，且满足国家相关法律法规的要求。</w:t>
            </w:r>
          </w:p>
        </w:tc>
        <w:tc>
          <w:tcPr>
            <w:tcW w:w="844" w:type="dxa"/>
            <w:tcBorders>
              <w:top w:val="single" w:color="000000" w:sz="4" w:space="0"/>
              <w:left w:val="single" w:color="000000" w:sz="4" w:space="0"/>
              <w:bottom w:val="single" w:color="000000" w:sz="4" w:space="0"/>
              <w:right w:val="single" w:color="000000" w:sz="4" w:space="0"/>
            </w:tcBorders>
            <w:noWrap w:val="0"/>
            <w:vAlign w:val="center"/>
          </w:tcPr>
          <w:p w14:paraId="09C6C1B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条件型</w:t>
            </w:r>
          </w:p>
        </w:tc>
        <w:tc>
          <w:tcPr>
            <w:tcW w:w="1391"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86A2A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关于核与辐射类建设项目生态环境影响报告</w:t>
            </w:r>
            <w:r>
              <w:rPr>
                <w:rFonts w:hint="eastAsia" w:ascii="仿宋_GB2312" w:hAnsi="仿宋_GB2312" w:eastAsia="仿宋_GB2312" w:cs="仿宋_GB2312"/>
                <w:b w:val="0"/>
                <w:bCs w:val="0"/>
                <w:i w:val="0"/>
                <w:color w:val="auto"/>
                <w:kern w:val="0"/>
                <w:sz w:val="18"/>
                <w:szCs w:val="18"/>
                <w:highlight w:val="none"/>
                <w:u w:val="none"/>
                <w:lang w:val="en-US" w:eastAsia="zh-CN" w:bidi="ar"/>
              </w:rPr>
              <w:t>书（表）</w:t>
            </w:r>
            <w:r>
              <w:rPr>
                <w:rFonts w:hint="eastAsia" w:ascii="仿宋_GB2312" w:hAnsi="仿宋_GB2312" w:eastAsia="仿宋_GB2312" w:cs="仿宋_GB2312"/>
                <w:i w:val="0"/>
                <w:color w:val="auto"/>
                <w:kern w:val="0"/>
                <w:sz w:val="18"/>
                <w:szCs w:val="18"/>
                <w:highlight w:val="none"/>
                <w:u w:val="none"/>
                <w:lang w:val="en-US" w:eastAsia="zh-CN" w:bidi="ar"/>
              </w:rPr>
              <w:t>的批复</w:t>
            </w:r>
          </w:p>
        </w:tc>
        <w:tc>
          <w:tcPr>
            <w:tcW w:w="3020" w:type="dxa"/>
            <w:tcBorders>
              <w:top w:val="single" w:color="000000" w:sz="4" w:space="0"/>
              <w:left w:val="single" w:color="000000" w:sz="4" w:space="0"/>
              <w:bottom w:val="single" w:color="000000" w:sz="4" w:space="0"/>
              <w:right w:val="single" w:color="000000" w:sz="4" w:space="0"/>
            </w:tcBorders>
            <w:noWrap w:val="0"/>
            <w:vAlign w:val="center"/>
          </w:tcPr>
          <w:p w14:paraId="62F336B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1.建设项目生态环境影响评价文件报批申请；</w:t>
            </w:r>
          </w:p>
          <w:p w14:paraId="59016F3A">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2.建设项目生态环境影响报告书（表）。涉及国家秘密、商业秘密和个人隐私的</w:t>
            </w:r>
            <w:bookmarkStart w:id="0" w:name="_GoBack"/>
            <w:bookmarkEnd w:id="0"/>
            <w:r>
              <w:rPr>
                <w:rFonts w:hint="eastAsia" w:ascii="仿宋_GB2312" w:hAnsi="仿宋_GB2312" w:eastAsia="仿宋_GB2312" w:cs="仿宋_GB2312"/>
                <w:i w:val="0"/>
                <w:color w:val="auto"/>
                <w:kern w:val="0"/>
                <w:sz w:val="18"/>
                <w:szCs w:val="18"/>
                <w:highlight w:val="none"/>
                <w:u w:val="none"/>
                <w:lang w:val="en-US" w:eastAsia="zh-CN" w:bidi="ar"/>
              </w:rPr>
              <w:t>，申请人应当自行作出删除、遮盖等区分处理，并提交有关说明材料；</w:t>
            </w:r>
          </w:p>
          <w:p w14:paraId="5E9FE2E2">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3.建设项目公众参与说明（仅编制生态环境影响报告书的建设项目）。</w:t>
            </w:r>
          </w:p>
        </w:tc>
        <w:tc>
          <w:tcPr>
            <w:tcW w:w="2754" w:type="dxa"/>
            <w:tcBorders>
              <w:top w:val="single" w:color="000000" w:sz="4" w:space="0"/>
              <w:left w:val="single" w:color="000000" w:sz="4" w:space="0"/>
              <w:bottom w:val="single" w:color="000000" w:sz="4" w:space="0"/>
              <w:right w:val="single" w:color="000000" w:sz="4" w:space="0"/>
            </w:tcBorders>
            <w:noWrap w:val="0"/>
            <w:vAlign w:val="center"/>
          </w:tcPr>
          <w:p w14:paraId="16D2C534">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1.申请人申请；</w:t>
            </w:r>
          </w:p>
          <w:p w14:paraId="5B5655D1">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2.审批机构受理/不予受理；</w:t>
            </w:r>
          </w:p>
          <w:p w14:paraId="6CEE5CE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3.审批机构审查；</w:t>
            </w:r>
          </w:p>
          <w:p w14:paraId="34EFFAE0">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4.审批机构批准/不予批准；</w:t>
            </w:r>
          </w:p>
          <w:p w14:paraId="4E91E43F">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kern w:val="0"/>
                <w:sz w:val="18"/>
                <w:szCs w:val="18"/>
                <w:highlight w:val="none"/>
                <w:u w:val="none"/>
                <w:lang w:val="en-US" w:eastAsia="zh-CN" w:bidi="ar"/>
              </w:rPr>
            </w:pPr>
            <w:r>
              <w:rPr>
                <w:rFonts w:hint="eastAsia" w:ascii="仿宋_GB2312" w:hAnsi="仿宋_GB2312" w:eastAsia="仿宋_GB2312" w:cs="仿宋_GB2312"/>
                <w:i w:val="0"/>
                <w:color w:val="auto"/>
                <w:kern w:val="0"/>
                <w:sz w:val="18"/>
                <w:szCs w:val="18"/>
                <w:highlight w:val="none"/>
                <w:u w:val="none"/>
                <w:lang w:val="en-US" w:eastAsia="zh-CN" w:bidi="ar"/>
              </w:rPr>
              <w:t>5.审批决定公告；</w:t>
            </w:r>
          </w:p>
          <w:p w14:paraId="3862FA93">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left"/>
              <w:textAlignment w:val="center"/>
              <w:rPr>
                <w:rFonts w:hint="eastAsia" w:ascii="仿宋_GB2312" w:hAnsi="仿宋_GB2312" w:eastAsia="仿宋_GB2312" w:cs="仿宋_GB2312"/>
                <w:i w:val="0"/>
                <w:color w:val="auto"/>
                <w:sz w:val="18"/>
                <w:szCs w:val="18"/>
                <w:highlight w:val="none"/>
                <w:u w:val="none"/>
              </w:rPr>
            </w:pPr>
            <w:r>
              <w:rPr>
                <w:rFonts w:hint="eastAsia" w:ascii="仿宋_GB2312" w:hAnsi="仿宋_GB2312" w:eastAsia="仿宋_GB2312" w:cs="仿宋_GB2312"/>
                <w:i w:val="0"/>
                <w:color w:val="auto"/>
                <w:kern w:val="0"/>
                <w:sz w:val="18"/>
                <w:szCs w:val="18"/>
                <w:highlight w:val="none"/>
                <w:u w:val="none"/>
                <w:lang w:val="en-US" w:eastAsia="zh-CN" w:bidi="ar"/>
              </w:rPr>
              <w:t>6.特殊环节（部分情况下开展）：技术审评、专家评审、现场检查等所需时间不计入审批时限。</w:t>
            </w:r>
          </w:p>
        </w:tc>
        <w:tc>
          <w:tcPr>
            <w:tcW w:w="907" w:type="dxa"/>
            <w:tcBorders>
              <w:top w:val="single" w:color="000000" w:sz="4" w:space="0"/>
              <w:left w:val="single" w:color="000000" w:sz="4" w:space="0"/>
              <w:bottom w:val="single" w:color="000000" w:sz="4" w:space="0"/>
              <w:right w:val="single" w:color="000000" w:sz="4" w:space="0"/>
            </w:tcBorders>
            <w:noWrap w:val="0"/>
            <w:vAlign w:val="center"/>
          </w:tcPr>
          <w:p w14:paraId="01F838B6">
            <w:pPr>
              <w:keepNext w:val="0"/>
              <w:keepLines w:val="0"/>
              <w:pageBreakBefore w:val="0"/>
              <w:widowControl/>
              <w:suppressLineNumbers w:val="0"/>
              <w:shd w:val="clear" w:color="auto"/>
              <w:kinsoku/>
              <w:wordWrap/>
              <w:overflowPunct/>
              <w:topLinePunct w:val="0"/>
              <w:autoSpaceDE/>
              <w:autoSpaceDN/>
              <w:bidi w:val="0"/>
              <w:adjustRightInd w:val="0"/>
              <w:snapToGrid/>
              <w:spacing w:line="240" w:lineRule="exact"/>
              <w:ind w:left="0" w:right="0"/>
              <w:jc w:val="center"/>
              <w:textAlignment w:val="center"/>
              <w:rPr>
                <w:rFonts w:hint="eastAsia" w:ascii="仿宋_GB2312" w:hAnsi="仿宋_GB2312" w:eastAsia="仿宋_GB2312" w:cs="仿宋_GB2312"/>
                <w:color w:val="auto"/>
                <w:sz w:val="18"/>
                <w:szCs w:val="18"/>
                <w:highlight w:val="none"/>
              </w:rPr>
            </w:pPr>
          </w:p>
        </w:tc>
      </w:tr>
    </w:tbl>
    <w:p w14:paraId="0DDBDD8C">
      <w:pPr>
        <w:keepNext w:val="0"/>
        <w:keepLines w:val="0"/>
        <w:pageBreakBefore w:val="0"/>
        <w:widowControl w:val="0"/>
        <w:kinsoku/>
        <w:wordWrap/>
        <w:overflowPunct/>
        <w:topLinePunct w:val="0"/>
        <w:autoSpaceDE/>
        <w:autoSpaceDN/>
        <w:bidi w:val="0"/>
        <w:adjustRightInd w:val="0"/>
        <w:spacing w:line="560" w:lineRule="exact"/>
        <w:ind w:right="0"/>
        <w:textAlignment w:val="auto"/>
        <w:rPr>
          <w:rFonts w:hint="eastAsia" w:ascii="仿宋_GB2312" w:hAnsi="仿宋_GB2312" w:eastAsia="仿宋_GB2312" w:cs="仿宋_GB2312"/>
          <w:b w:val="0"/>
          <w:bCs w:val="0"/>
          <w:color w:val="auto"/>
          <w:sz w:val="32"/>
          <w:szCs w:val="32"/>
          <w:highlight w:val="none"/>
          <w:lang w:val="en-US" w:eastAsia="zh-CN"/>
        </w:rPr>
      </w:pPr>
    </w:p>
    <w:sectPr>
      <w:footerReference r:id="rId4" w:type="default"/>
      <w:pgSz w:w="23811" w:h="16838" w:orient="landscape"/>
      <w:pgMar w:top="1417" w:right="1531" w:bottom="1417"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PingFang SC">
    <w:altName w:val="宋体"/>
    <w:panose1 w:val="020B0400000000000000"/>
    <w:charset w:val="86"/>
    <w:family w:val="auto"/>
    <w:pitch w:val="default"/>
    <w:sig w:usb0="00000000" w:usb1="00000000" w:usb2="00000017"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简体">
    <w:altName w:val="仿宋_GB2312"/>
    <w:panose1 w:val="02000000000000000000"/>
    <w:charset w:val="86"/>
    <w:family w:val="script"/>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61233">
    <w:pPr>
      <w:widowControl w:val="0"/>
      <w:snapToGrid w:val="0"/>
      <w:jc w:val="left"/>
      <w:rPr>
        <w:rFonts w:ascii="Times New Roman" w:hAnsi="Times New Roman" w:eastAsia="宋体" w:cs="Times New Roman"/>
        <w:kern w:val="2"/>
        <w:sz w:val="18"/>
        <w:lang w:val="en-US" w:eastAsia="zh-CN" w:bidi="ar-SA"/>
      </w:rPr>
    </w:pPr>
    <w:r>
      <w:rPr>
        <w:rFonts w:ascii="Times New Roman" w:hAnsi="Times New Roman" w:eastAsia="宋体" w:cs="Times New Roman"/>
        <w:kern w:val="2"/>
        <w:sz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03B3CA">
                          <w:pPr>
                            <w:widowControl w:val="0"/>
                            <w:snapToGrid w:val="0"/>
                            <w:jc w:val="left"/>
                            <w:rPr>
                              <w:rFonts w:ascii="Times New Roman" w:hAnsi="Times New Roman" w:eastAsia="宋体" w:cs="Times New Roman"/>
                              <w:kern w:val="2"/>
                              <w:sz w:val="1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- 1 -</w:t>
                          </w:r>
                          <w:r>
                            <w:rPr>
                              <w:rFonts w:hint="eastAsia" w:ascii="宋体" w:hAnsi="宋体" w:eastAsia="宋体" w:cs="宋体"/>
                              <w:kern w:val="2"/>
                              <w:sz w:val="28"/>
                              <w:szCs w:val="28"/>
                              <w:lang w:val="en-US" w:eastAsia="zh-CN" w:bidi="ar-SA"/>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ZIqk6yQEAAJkDAAAOAAAAAAAAAAEAIAAAAB4BAABkcnMvZTJvRG9j&#10;LnhtbFBLBQYAAAAABgAGAFkBAABZBQAAAAA=&#10;">
              <v:fill on="f" focussize="0,0"/>
              <v:stroke on="f"/>
              <v:imagedata o:title=""/>
              <o:lock v:ext="edit" aspectratio="f"/>
              <v:textbox inset="0mm,0mm,0mm,0mm" style="mso-fit-shape-to-text:t;">
                <w:txbxContent>
                  <w:p w14:paraId="2103B3CA">
                    <w:pPr>
                      <w:widowControl w:val="0"/>
                      <w:snapToGrid w:val="0"/>
                      <w:jc w:val="left"/>
                      <w:rPr>
                        <w:rFonts w:ascii="Times New Roman" w:hAnsi="Times New Roman" w:eastAsia="宋体" w:cs="Times New Roman"/>
                        <w:kern w:val="2"/>
                        <w:sz w:val="18"/>
                        <w:lang w:val="en-US" w:eastAsia="zh-CN" w:bidi="ar-SA"/>
                      </w:rPr>
                    </w:pP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- 1 -</w:t>
                    </w:r>
                    <w:r>
                      <w:rPr>
                        <w:rFonts w:hint="eastAsia" w:ascii="宋体" w:hAnsi="宋体" w:eastAsia="宋体" w:cs="宋体"/>
                        <w:kern w:val="2"/>
                        <w:sz w:val="28"/>
                        <w:szCs w:val="28"/>
                        <w:lang w:val="en-US" w:eastAsia="zh-CN" w:bidi="ar-S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0D6C2">
    <w:pPr>
      <w:widowControl w:val="0"/>
      <w:snapToGrid w:val="0"/>
      <w:jc w:val="left"/>
      <w:rPr>
        <w:rFonts w:ascii="Times New Roman" w:hAnsi="Times New Roman" w:eastAsia="宋体" w:cs="Times New Roman"/>
        <w:kern w:val="2"/>
        <w:sz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4F3BD4">
                          <w:pPr>
                            <w:pStyle w:val="1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- 15 -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64F3BD4">
                    <w:pPr>
                      <w:pStyle w:val="1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- 15 -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7F75AD"/>
    <w:multiLevelType w:val="singleLevel"/>
    <w:tmpl w:val="8B7F75AD"/>
    <w:lvl w:ilvl="0" w:tentative="0">
      <w:start w:val="1"/>
      <w:numFmt w:val="decimal"/>
      <w:suff w:val="nothing"/>
      <w:lvlText w:val="%1."/>
      <w:lvlJc w:val="left"/>
      <w:pPr>
        <w:ind w:left="0" w:firstLine="0"/>
      </w:pPr>
    </w:lvl>
  </w:abstractNum>
  <w:abstractNum w:abstractNumId="1">
    <w:nsid w:val="EE6D0E3C"/>
    <w:multiLevelType w:val="singleLevel"/>
    <w:tmpl w:val="EE6D0E3C"/>
    <w:lvl w:ilvl="0" w:tentative="0">
      <w:start w:val="1"/>
      <w:numFmt w:val="decimal"/>
      <w:suff w:val="nothing"/>
      <w:lvlText w:val="%1."/>
      <w:lvlJc w:val="left"/>
      <w:pPr>
        <w:ind w:left="0" w:firstLine="0"/>
      </w:pPr>
    </w:lvl>
  </w:abstractNum>
  <w:abstractNum w:abstractNumId="2">
    <w:nsid w:val="00000003"/>
    <w:multiLevelType w:val="multilevel"/>
    <w:tmpl w:val="00000003"/>
    <w:lvl w:ilvl="0" w:tentative="0">
      <w:start w:val="1"/>
      <w:numFmt w:val="japaneseCounting"/>
      <w:pStyle w:val="26"/>
      <w:lvlText w:val="%1、"/>
      <w:lvlJc w:val="left"/>
      <w:pPr>
        <w:tabs>
          <w:tab w:val="left" w:pos="1260"/>
        </w:tabs>
        <w:ind w:left="1260" w:hanging="720"/>
      </w:pPr>
      <w:rPr>
        <w:rFonts w:hint="eastAsia" w:ascii="仿宋_GB2312" w:hAnsi="Times New Roman" w:eastAsia="仿宋_GB2312"/>
        <w:b/>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4104FC7B"/>
    <w:multiLevelType w:val="singleLevel"/>
    <w:tmpl w:val="4104FC7B"/>
    <w:lvl w:ilvl="0" w:tentative="0">
      <w:start w:val="1"/>
      <w:numFmt w:val="decimal"/>
      <w:suff w:val="nothing"/>
      <w:lvlText w:val="%1."/>
      <w:lvlJc w:val="left"/>
      <w:pPr>
        <w:ind w:left="0" w:firstLine="0"/>
      </w:pPr>
    </w:lvl>
  </w:abstractNum>
  <w:abstractNum w:abstractNumId="4">
    <w:nsid w:val="7F410AAF"/>
    <w:multiLevelType w:val="singleLevel"/>
    <w:tmpl w:val="7F410AAF"/>
    <w:lvl w:ilvl="0" w:tentative="0">
      <w:start w:val="1"/>
      <w:numFmt w:val="decimal"/>
      <w:suff w:val="nothing"/>
      <w:lvlText w:val="%1."/>
      <w:lvlJc w:val="left"/>
      <w:pPr>
        <w:ind w:left="0" w:firstLine="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25D02"/>
    <w:rsid w:val="000D0A39"/>
    <w:rsid w:val="00180B30"/>
    <w:rsid w:val="00184AA6"/>
    <w:rsid w:val="001F3C01"/>
    <w:rsid w:val="00215072"/>
    <w:rsid w:val="002214CB"/>
    <w:rsid w:val="002E5FC0"/>
    <w:rsid w:val="00357F65"/>
    <w:rsid w:val="00395656"/>
    <w:rsid w:val="003A1E1E"/>
    <w:rsid w:val="003C6577"/>
    <w:rsid w:val="004479E5"/>
    <w:rsid w:val="004C7CCC"/>
    <w:rsid w:val="004D7D2E"/>
    <w:rsid w:val="00506FDB"/>
    <w:rsid w:val="0059071F"/>
    <w:rsid w:val="005C0D88"/>
    <w:rsid w:val="005C1CAF"/>
    <w:rsid w:val="005C7346"/>
    <w:rsid w:val="006424D6"/>
    <w:rsid w:val="006A29FC"/>
    <w:rsid w:val="006B5723"/>
    <w:rsid w:val="00720D2F"/>
    <w:rsid w:val="0074727E"/>
    <w:rsid w:val="008021C2"/>
    <w:rsid w:val="008478EE"/>
    <w:rsid w:val="009246E8"/>
    <w:rsid w:val="009D06A5"/>
    <w:rsid w:val="00A6305F"/>
    <w:rsid w:val="00B20B0A"/>
    <w:rsid w:val="00B63C06"/>
    <w:rsid w:val="00BB3EA2"/>
    <w:rsid w:val="00C8486A"/>
    <w:rsid w:val="00C95EA0"/>
    <w:rsid w:val="00D01AF5"/>
    <w:rsid w:val="00D15A46"/>
    <w:rsid w:val="00D31EC0"/>
    <w:rsid w:val="00DA4A93"/>
    <w:rsid w:val="00E50731"/>
    <w:rsid w:val="00E8397E"/>
    <w:rsid w:val="00E9758D"/>
    <w:rsid w:val="00ED0263"/>
    <w:rsid w:val="00F530E6"/>
    <w:rsid w:val="00F8551C"/>
    <w:rsid w:val="00FA1F91"/>
    <w:rsid w:val="0151127E"/>
    <w:rsid w:val="03ED5737"/>
    <w:rsid w:val="075520AC"/>
    <w:rsid w:val="086458BA"/>
    <w:rsid w:val="08BB48FE"/>
    <w:rsid w:val="0CEA2559"/>
    <w:rsid w:val="0DF61C9D"/>
    <w:rsid w:val="13023952"/>
    <w:rsid w:val="140168C0"/>
    <w:rsid w:val="14FA5951"/>
    <w:rsid w:val="15051099"/>
    <w:rsid w:val="16B41AB3"/>
    <w:rsid w:val="1A91551A"/>
    <w:rsid w:val="1AF0470D"/>
    <w:rsid w:val="1D156349"/>
    <w:rsid w:val="1E384809"/>
    <w:rsid w:val="1EEA87BB"/>
    <w:rsid w:val="20814F2A"/>
    <w:rsid w:val="28DB3059"/>
    <w:rsid w:val="28F2754D"/>
    <w:rsid w:val="2E296E82"/>
    <w:rsid w:val="31AA06AE"/>
    <w:rsid w:val="330D49FB"/>
    <w:rsid w:val="333472C1"/>
    <w:rsid w:val="337F7872"/>
    <w:rsid w:val="339950A0"/>
    <w:rsid w:val="371D6DB8"/>
    <w:rsid w:val="37A70BCD"/>
    <w:rsid w:val="37EF8941"/>
    <w:rsid w:val="3DED9A65"/>
    <w:rsid w:val="3FD608D3"/>
    <w:rsid w:val="41017900"/>
    <w:rsid w:val="43FF7982"/>
    <w:rsid w:val="467B090B"/>
    <w:rsid w:val="4BA2700E"/>
    <w:rsid w:val="4F3B4DD4"/>
    <w:rsid w:val="53B7128F"/>
    <w:rsid w:val="54E67898"/>
    <w:rsid w:val="552114B7"/>
    <w:rsid w:val="554729EE"/>
    <w:rsid w:val="55810E97"/>
    <w:rsid w:val="57FFD63C"/>
    <w:rsid w:val="58E7636A"/>
    <w:rsid w:val="5A2B22EF"/>
    <w:rsid w:val="5A886B27"/>
    <w:rsid w:val="5B7B31DD"/>
    <w:rsid w:val="5C2E3A61"/>
    <w:rsid w:val="5D8129AC"/>
    <w:rsid w:val="5E8C49AC"/>
    <w:rsid w:val="5FFE9BA5"/>
    <w:rsid w:val="62DAF349"/>
    <w:rsid w:val="649B069F"/>
    <w:rsid w:val="6A5EFAA9"/>
    <w:rsid w:val="6C1738FF"/>
    <w:rsid w:val="6D91263F"/>
    <w:rsid w:val="6EC83DCE"/>
    <w:rsid w:val="6EDF1D05"/>
    <w:rsid w:val="72577535"/>
    <w:rsid w:val="730D04B4"/>
    <w:rsid w:val="74836A59"/>
    <w:rsid w:val="77494269"/>
    <w:rsid w:val="79CD3B51"/>
    <w:rsid w:val="7A2D312B"/>
    <w:rsid w:val="7B4A6CD6"/>
    <w:rsid w:val="7D5F1C85"/>
    <w:rsid w:val="7EA33A43"/>
    <w:rsid w:val="977BD82F"/>
    <w:rsid w:val="CEBE8C59"/>
    <w:rsid w:val="DDDD55A0"/>
    <w:rsid w:val="DF7E7F0D"/>
    <w:rsid w:val="DFFB483D"/>
    <w:rsid w:val="F3552C4D"/>
    <w:rsid w:val="FFFB1F6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spacing w:before="100" w:beforeAutospacing="1" w:after="100" w:afterAutospacing="1" w:line="240" w:lineRule="auto"/>
      <w:jc w:val="left"/>
      <w:outlineLvl w:val="0"/>
    </w:pPr>
    <w:rPr>
      <w:rFonts w:hint="eastAsia" w:ascii="宋体" w:hAnsi="宋体" w:eastAsia="宋体" w:cs="宋体"/>
      <w:b/>
      <w:kern w:val="44"/>
      <w:sz w:val="48"/>
      <w:szCs w:val="48"/>
      <w:lang w:bidi="ar-SA"/>
    </w:rPr>
  </w:style>
  <w:style w:type="character" w:default="1" w:styleId="13">
    <w:name w:val="Default Paragraph Font"/>
    <w:qFormat/>
    <w:uiPriority w:val="0"/>
  </w:style>
  <w:style w:type="table" w:default="1" w:styleId="11">
    <w:name w:val="Normal Table"/>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next w:val="5"/>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Body Text Indent"/>
    <w:basedOn w:val="1"/>
    <w:qFormat/>
    <w:uiPriority w:val="0"/>
    <w:pPr>
      <w:spacing w:line="500" w:lineRule="exact"/>
      <w:ind w:firstLine="630"/>
    </w:pPr>
    <w:rPr>
      <w:rFonts w:ascii="Times New Roman" w:hAnsi="Times New Roman" w:eastAsia="仿宋_GB2312" w:cs="Times New Roman"/>
      <w:sz w:val="32"/>
      <w:szCs w:val="32"/>
      <w:lang w:bidi="ar-SA"/>
    </w:rPr>
  </w:style>
  <w:style w:type="paragraph" w:styleId="7">
    <w:name w:val="Plain Text"/>
    <w:basedOn w:val="1"/>
    <w:link w:val="16"/>
    <w:qFormat/>
    <w:uiPriority w:val="0"/>
    <w:pPr>
      <w:widowControl/>
      <w:spacing w:line="240" w:lineRule="auto"/>
      <w:ind w:left="557"/>
    </w:pPr>
    <w:rPr>
      <w:rFonts w:ascii="宋体" w:hAnsi="Courier New" w:eastAsia="宋体" w:cs="Times New Roman"/>
      <w:b/>
      <w:sz w:val="21"/>
      <w:lang w:val="en-US" w:eastAsia="zh-CN" w:bidi="ar-SA"/>
    </w:rPr>
  </w:style>
  <w:style w:type="paragraph" w:styleId="8">
    <w:name w:val="Date"/>
    <w:basedOn w:val="1"/>
    <w:next w:val="1"/>
    <w:qFormat/>
    <w:uiPriority w:val="0"/>
    <w:pPr>
      <w:spacing w:line="240" w:lineRule="atLeast"/>
      <w:ind w:left="100" w:leftChars="2500"/>
    </w:pPr>
    <w:rPr>
      <w:rFonts w:ascii="Times New Roman" w:hAnsi="Times New Roman" w:eastAsia="宋体" w:cs="Times New Roman"/>
      <w:lang w:bidi="he-IL"/>
    </w:rPr>
  </w:style>
  <w:style w:type="paragraph" w:styleId="9">
    <w:name w:val="Balloon Text"/>
    <w:basedOn w:val="1"/>
    <w:qFormat/>
    <w:uiPriority w:val="0"/>
    <w:pPr>
      <w:spacing w:line="240" w:lineRule="atLeast"/>
    </w:pPr>
    <w:rPr>
      <w:rFonts w:ascii="Times New Roman" w:hAnsi="Times New Roman" w:eastAsia="宋体" w:cs="Times New Roman"/>
      <w:sz w:val="18"/>
      <w:szCs w:val="18"/>
      <w:lang w:bidi="he-IL"/>
    </w:rPr>
  </w:style>
  <w:style w:type="paragraph" w:styleId="10">
    <w:name w:val="footer"/>
    <w:basedOn w:val="1"/>
    <w:link w:val="17"/>
    <w:qFormat/>
    <w:uiPriority w:val="0"/>
    <w:pPr>
      <w:tabs>
        <w:tab w:val="center" w:pos="4153"/>
        <w:tab w:val="right" w:pos="8306"/>
      </w:tabs>
      <w:snapToGrid w:val="0"/>
      <w:jc w:val="left"/>
    </w:pPr>
    <w:rPr>
      <w:sz w:val="18"/>
    </w:rPr>
  </w:style>
  <w:style w:type="table" w:styleId="12">
    <w:name w:val="Table Grid"/>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0"/>
    <w:rPr>
      <w:rFonts w:ascii="Times New Roman" w:hAnsi="Times New Roman" w:eastAsia="宋体" w:cs="Times New Roman"/>
      <w:b/>
      <w:bCs/>
    </w:rPr>
  </w:style>
  <w:style w:type="character" w:styleId="15">
    <w:name w:val="page number"/>
    <w:basedOn w:val="13"/>
    <w:qFormat/>
    <w:uiPriority w:val="0"/>
    <w:rPr>
      <w:rFonts w:ascii="Times New Roman" w:hAnsi="Times New Roman" w:eastAsia="宋体" w:cs="Times New Roman"/>
    </w:rPr>
  </w:style>
  <w:style w:type="character" w:customStyle="1" w:styleId="16">
    <w:name w:val="纯文本 字符"/>
    <w:link w:val="7"/>
    <w:qFormat/>
    <w:uiPriority w:val="0"/>
    <w:rPr>
      <w:rFonts w:ascii="宋体" w:hAnsi="Courier New" w:eastAsia="宋体" w:cs="Times New Roman"/>
      <w:b/>
      <w:sz w:val="21"/>
      <w:lang w:val="en-US" w:eastAsia="zh-CN" w:bidi="ar-SA"/>
    </w:rPr>
  </w:style>
  <w:style w:type="character" w:customStyle="1" w:styleId="17">
    <w:name w:val="页脚 字符"/>
    <w:link w:val="10"/>
    <w:qFormat/>
    <w:uiPriority w:val="0"/>
    <w:rPr>
      <w:rFonts w:ascii="Times New Roman" w:hAnsi="Times New Roman" w:eastAsia="宋体" w:cs="Times New Roman"/>
      <w:sz w:val="18"/>
    </w:rPr>
  </w:style>
  <w:style w:type="paragraph" w:customStyle="1" w:styleId="18">
    <w:name w:val="Quote"/>
    <w:next w:val="1"/>
    <w:qFormat/>
    <w:uiPriority w:val="0"/>
    <w:pPr>
      <w:widowControl w:val="0"/>
      <w:ind w:left="864" w:right="864"/>
      <w:jc w:val="center"/>
    </w:pPr>
    <w:rPr>
      <w:rFonts w:ascii="Times New Roman" w:hAnsi="Times New Roman" w:eastAsia="宋体" w:cs="Times New Roman"/>
      <w:i/>
      <w:iCs/>
      <w:color w:val="000000"/>
      <w:kern w:val="2"/>
      <w:sz w:val="21"/>
      <w:lang w:val="en-US" w:eastAsia="zh-CN" w:bidi="ar-SA"/>
    </w:rPr>
  </w:style>
  <w:style w:type="character" w:customStyle="1" w:styleId="19">
    <w:name w:val="font11"/>
    <w:qFormat/>
    <w:uiPriority w:val="0"/>
    <w:rPr>
      <w:rFonts w:hint="eastAsia" w:ascii="宋体" w:hAnsi="宋体" w:eastAsia="宋体" w:cs="宋体"/>
      <w:color w:val="000000"/>
      <w:sz w:val="20"/>
      <w:szCs w:val="20"/>
      <w:u w:val="none"/>
    </w:rPr>
  </w:style>
  <w:style w:type="character" w:customStyle="1" w:styleId="20">
    <w:name w:val="font01"/>
    <w:qFormat/>
    <w:uiPriority w:val="0"/>
    <w:rPr>
      <w:rFonts w:hint="eastAsia" w:ascii="宋体" w:hAnsi="宋体" w:eastAsia="宋体" w:cs="宋体"/>
      <w:color w:val="000000"/>
      <w:sz w:val="20"/>
      <w:szCs w:val="20"/>
      <w:u w:val="none"/>
    </w:rPr>
  </w:style>
  <w:style w:type="table" w:customStyle="1" w:styleId="21">
    <w:name w:val="Table Normal"/>
    <w:qFormat/>
    <w:uiPriority w:val="0"/>
    <w:rPr>
      <w:rFonts w:ascii="Times New Roman" w:hAnsi="Times New Roman" w:eastAsia="宋体" w:cs="Times New Roman"/>
    </w:rPr>
    <w:tblPr>
      <w:tblCellMar>
        <w:top w:w="0" w:type="dxa"/>
        <w:left w:w="0" w:type="dxa"/>
        <w:bottom w:w="0" w:type="dxa"/>
        <w:right w:w="0" w:type="dxa"/>
      </w:tblCellMar>
    </w:tblPr>
  </w:style>
  <w:style w:type="character" w:customStyle="1" w:styleId="22">
    <w:name w:val="font71"/>
    <w:qFormat/>
    <w:uiPriority w:val="0"/>
    <w:rPr>
      <w:rFonts w:hint="eastAsia" w:ascii="宋体" w:hAnsi="宋体" w:eastAsia="宋体" w:cs="宋体"/>
      <w:color w:val="000000"/>
      <w:sz w:val="22"/>
      <w:szCs w:val="22"/>
      <w:u w:val="none"/>
    </w:rPr>
  </w:style>
  <w:style w:type="character" w:customStyle="1" w:styleId="23">
    <w:name w:val="Plain Text Char Char"/>
    <w:link w:val="24"/>
    <w:qFormat/>
    <w:uiPriority w:val="0"/>
    <w:rPr>
      <w:rFonts w:ascii="宋体" w:hAnsi="Courier New" w:eastAsia="宋体" w:cs="Times New Roman"/>
      <w:sz w:val="21"/>
      <w:szCs w:val="21"/>
      <w:lang w:bidi="ar-SA"/>
    </w:rPr>
  </w:style>
  <w:style w:type="paragraph" w:customStyle="1" w:styleId="24">
    <w:name w:val="Plain Text"/>
    <w:basedOn w:val="1"/>
    <w:link w:val="23"/>
    <w:qFormat/>
    <w:uiPriority w:val="0"/>
    <w:pPr>
      <w:spacing w:line="240" w:lineRule="auto"/>
    </w:pPr>
    <w:rPr>
      <w:rFonts w:ascii="宋体" w:hAnsi="Courier New" w:eastAsia="宋体" w:cs="Times New Roman"/>
      <w:sz w:val="21"/>
      <w:szCs w:val="21"/>
      <w:lang w:bidi="ar-SA"/>
    </w:rPr>
  </w:style>
  <w:style w:type="paragraph" w:customStyle="1" w:styleId="25">
    <w:name w:val=" Char Char Char Char"/>
    <w:basedOn w:val="1"/>
    <w:qFormat/>
    <w:uiPriority w:val="0"/>
    <w:pPr>
      <w:spacing w:line="240" w:lineRule="auto"/>
    </w:pPr>
    <w:rPr>
      <w:rFonts w:ascii="Times New Roman" w:hAnsi="Times New Roman" w:eastAsia="宋体" w:cs="Times New Roman"/>
      <w:lang w:bidi="he-IL"/>
    </w:rPr>
  </w:style>
  <w:style w:type="paragraph" w:customStyle="1" w:styleId="26">
    <w:name w:val="Char Char Char Char Char Char"/>
    <w:basedOn w:val="1"/>
    <w:qFormat/>
    <w:uiPriority w:val="0"/>
    <w:pPr>
      <w:numPr>
        <w:ilvl w:val="0"/>
        <w:numId w:val="1"/>
      </w:numPr>
      <w:spacing w:line="240" w:lineRule="auto"/>
    </w:pPr>
    <w:rPr>
      <w:rFonts w:ascii="Times New Roman" w:hAnsi="Times New Roman" w:eastAsia="宋体" w:cs="Times New Roman"/>
      <w:sz w:val="24"/>
      <w:szCs w:val="24"/>
      <w:lang w:bidi="ar-SA"/>
    </w:rPr>
  </w:style>
  <w:style w:type="paragraph" w:customStyle="1" w:styleId="27">
    <w:name w:val="Char"/>
    <w:basedOn w:val="1"/>
    <w:qFormat/>
    <w:uiPriority w:val="0"/>
    <w:pPr>
      <w:spacing w:line="240" w:lineRule="auto"/>
    </w:pPr>
    <w:rPr>
      <w:rFonts w:ascii="Tahoma" w:hAnsi="Tahoma" w:eastAsia="宋体" w:cs="Times New Roman"/>
      <w:sz w:val="24"/>
      <w:lang w:bidi="ar-SA"/>
    </w:rPr>
  </w:style>
  <w:style w:type="paragraph" w:customStyle="1" w:styleId="28">
    <w:name w:val="Table Text"/>
    <w:basedOn w:val="1"/>
    <w:semiHidden/>
    <w:qFormat/>
    <w:uiPriority w:val="0"/>
    <w:rPr>
      <w:rFonts w:ascii="PingFang SC" w:hAnsi="PingFang SC" w:eastAsia="PingFang SC" w:cs="PingFang SC"/>
      <w:sz w:val="17"/>
      <w:szCs w:val="17"/>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20(x86)\WPS%20Office\12.1.0.25225\office6\&#27827;&#21271;&#30465;&#29615;&#22659;&#20445;&#25252;&#21381;&#25991;&#20214;&#19979;&#21457;"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14</Pages>
  <Words>9765</Words>
  <Characters>10022</Characters>
  <Lines>0</Lines>
  <Paragraphs>0</Paragraphs>
  <TotalTime>23</TotalTime>
  <ScaleCrop>false</ScaleCrop>
  <LinksUpToDate>false</LinksUpToDate>
  <CharactersWithSpaces>10058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2011-09-16T03:13:00Z</dcterms:created>
  <dc:creator>newhero</dc:creator>
  <cp:lastModifiedBy>小草</cp:lastModifiedBy>
  <dcterms:modified xsi:type="dcterms:W3CDTF">2026-04-30T02:12:16Z</dcterms:modified>
  <dc:title>《关于印发河北省生态环境行政裁量权基准的通知》签报说明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DA4D7B3BE16845B7BF95CB71788396DC_13</vt:lpwstr>
  </property>
  <property fmtid="{D5CDD505-2E9C-101B-9397-08002B2CF9AE}" pid="4" name="KSOTemplateDocerSaveRecord">
    <vt:lpwstr>eyJoZGlkIjoiZTNlMDA3NWMxZTRjZDc4MDhmZDcyMDEyMDE0NjE0YTUiLCJ1c2VySWQiOiIzOTAwODg4NjQifQ==</vt:lpwstr>
  </property>
</Properties>
</file>